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D6" w:rsidRDefault="006E2AD6" w:rsidP="006E2AD6">
      <w:pPr>
        <w:tabs>
          <w:tab w:val="left" w:pos="567"/>
          <w:tab w:val="left" w:pos="851"/>
          <w:tab w:val="left" w:pos="5423"/>
        </w:tabs>
        <w:jc w:val="both"/>
        <w:rPr>
          <w:lang w:val="lt-LT"/>
        </w:rPr>
      </w:pPr>
      <w:r>
        <w:rPr>
          <w:lang w:val="lt-LT"/>
        </w:rPr>
        <w:t xml:space="preserve">         </w:t>
      </w:r>
    </w:p>
    <w:p w:rsidR="006E2AD6" w:rsidRDefault="006E2AD6" w:rsidP="006E2AD6">
      <w:pPr>
        <w:tabs>
          <w:tab w:val="left" w:pos="567"/>
          <w:tab w:val="left" w:pos="851"/>
          <w:tab w:val="left" w:pos="5423"/>
        </w:tabs>
        <w:jc w:val="both"/>
        <w:rPr>
          <w:lang w:val="lt-LT"/>
        </w:rPr>
      </w:pPr>
    </w:p>
    <w:p w:rsidR="0049014F" w:rsidRPr="00B10ABA" w:rsidRDefault="006E2AD6" w:rsidP="006E2AD6">
      <w:pPr>
        <w:tabs>
          <w:tab w:val="left" w:pos="567"/>
          <w:tab w:val="left" w:pos="851"/>
          <w:tab w:val="left" w:pos="5423"/>
        </w:tabs>
        <w:jc w:val="both"/>
        <w:rPr>
          <w:lang w:val="lt-LT"/>
        </w:rPr>
      </w:pPr>
      <w:r>
        <w:rPr>
          <w:lang w:val="lt-LT"/>
        </w:rPr>
        <w:tab/>
        <w:t xml:space="preserve">Mokesčio dydis apskaičiuojamas priklausomai nuo maksimalių leidžiamų transporto priemonių charakteristikų viršijimo ir </w:t>
      </w:r>
      <w:proofErr w:type="spellStart"/>
      <w:r>
        <w:rPr>
          <w:lang w:val="lt-LT"/>
        </w:rPr>
        <w:t>didžiagabaritės</w:t>
      </w:r>
      <w:proofErr w:type="spellEnd"/>
      <w:r>
        <w:rPr>
          <w:lang w:val="lt-LT"/>
        </w:rPr>
        <w:t xml:space="preserve"> ir (ar) sunkiasvorės transporto priemonės važiavimo maršruto ilgio.</w:t>
      </w:r>
      <w:r w:rsidR="00715696">
        <w:rPr>
          <w:lang w:val="lt-LT"/>
        </w:rPr>
        <w:tab/>
      </w:r>
    </w:p>
    <w:p w:rsidR="00366539" w:rsidRDefault="00EE0CC2" w:rsidP="00366539">
      <w:pPr>
        <w:tabs>
          <w:tab w:val="left" w:pos="851"/>
        </w:tabs>
        <w:jc w:val="both"/>
        <w:rPr>
          <w:lang w:val="lt-LT" w:eastAsia="lt-LT"/>
        </w:rPr>
      </w:pPr>
      <w:r w:rsidRPr="00EE0CC2">
        <w:rPr>
          <w:lang w:val="lt-LT"/>
        </w:rPr>
        <w:tab/>
      </w:r>
      <w:r w:rsidR="00366539">
        <w:rPr>
          <w:lang w:val="lt-LT"/>
        </w:rPr>
        <w:t xml:space="preserve">1. </w:t>
      </w:r>
      <w:r w:rsidR="00366539" w:rsidRPr="008F61FE">
        <w:rPr>
          <w:lang w:val="lt-LT" w:eastAsia="lt-LT"/>
        </w:rPr>
        <w:t>Mokesčio už naudojimąsi keliais važiuojant</w:t>
      </w:r>
      <w:r w:rsidR="00366539">
        <w:rPr>
          <w:lang w:val="lt-LT" w:eastAsia="lt-LT"/>
        </w:rPr>
        <w:t xml:space="preserve"> </w:t>
      </w:r>
      <w:proofErr w:type="spellStart"/>
      <w:r w:rsidR="00366539" w:rsidRPr="008F61FE">
        <w:rPr>
          <w:lang w:val="lt-LT" w:eastAsia="lt-LT"/>
        </w:rPr>
        <w:t>didžiagabaritėmis</w:t>
      </w:r>
      <w:proofErr w:type="spellEnd"/>
      <w:r w:rsidR="00366539" w:rsidRPr="008F61FE">
        <w:rPr>
          <w:lang w:val="lt-LT" w:eastAsia="lt-LT"/>
        </w:rPr>
        <w:t xml:space="preserve"> motorinėmis transporto priemonėmis </w:t>
      </w:r>
      <w:r w:rsidR="00366539">
        <w:rPr>
          <w:lang w:val="lt-LT" w:eastAsia="lt-LT"/>
        </w:rPr>
        <w:t xml:space="preserve">ar </w:t>
      </w:r>
      <w:r w:rsidR="00366539" w:rsidRPr="008F61FE">
        <w:rPr>
          <w:lang w:val="lt-LT" w:eastAsia="lt-LT"/>
        </w:rPr>
        <w:t>jų</w:t>
      </w:r>
      <w:r w:rsidR="00366539">
        <w:rPr>
          <w:lang w:val="lt-LT" w:eastAsia="lt-LT"/>
        </w:rPr>
        <w:t xml:space="preserve"> </w:t>
      </w:r>
      <w:r w:rsidR="00366539" w:rsidRPr="008F61FE">
        <w:rPr>
          <w:lang w:val="lt-LT" w:eastAsia="lt-LT"/>
        </w:rPr>
        <w:t>junginiais, kurių matmenys su kroviniu ar be jo yra didesni už</w:t>
      </w:r>
      <w:r w:rsidR="00366539">
        <w:rPr>
          <w:lang w:val="lt-LT" w:eastAsia="lt-LT"/>
        </w:rPr>
        <w:t xml:space="preserve"> </w:t>
      </w:r>
      <w:r w:rsidR="00366539" w:rsidRPr="008F61FE">
        <w:rPr>
          <w:lang w:val="lt-LT" w:eastAsia="lt-LT"/>
        </w:rPr>
        <w:t>didžiausiuosius leidžiamus naudojantis keliais transporto</w:t>
      </w:r>
      <w:r w:rsidR="00366539">
        <w:rPr>
          <w:lang w:val="lt-LT" w:eastAsia="lt-LT"/>
        </w:rPr>
        <w:t xml:space="preserve"> </w:t>
      </w:r>
      <w:r w:rsidR="00366539" w:rsidRPr="008F61FE">
        <w:rPr>
          <w:lang w:val="lt-LT" w:eastAsia="lt-LT"/>
        </w:rPr>
        <w:t>priemonių ar jų junginių matmenis (toliau</w:t>
      </w:r>
      <w:r w:rsidR="00366539">
        <w:rPr>
          <w:lang w:val="lt-LT" w:eastAsia="lt-LT"/>
        </w:rPr>
        <w:t xml:space="preserve"> - </w:t>
      </w:r>
      <w:r w:rsidR="00366539" w:rsidRPr="008F61FE">
        <w:rPr>
          <w:lang w:val="lt-LT" w:eastAsia="lt-LT"/>
        </w:rPr>
        <w:t>didžiausieji</w:t>
      </w:r>
      <w:r w:rsidR="00366539">
        <w:rPr>
          <w:lang w:val="lt-LT" w:eastAsia="lt-LT"/>
        </w:rPr>
        <w:t xml:space="preserve"> </w:t>
      </w:r>
      <w:r w:rsidR="00366539" w:rsidRPr="008F61FE">
        <w:rPr>
          <w:lang w:val="lt-LT" w:eastAsia="lt-LT"/>
        </w:rPr>
        <w:t>leidžiamieji matmenys), tarifai:</w:t>
      </w:r>
    </w:p>
    <w:p w:rsidR="00366539" w:rsidRPr="008F61FE" w:rsidRDefault="00366539" w:rsidP="00366539">
      <w:pPr>
        <w:jc w:val="both"/>
        <w:rPr>
          <w:lang w:val="lt-LT" w:eastAsia="lt-LT"/>
        </w:rPr>
      </w:pPr>
    </w:p>
    <w:p w:rsidR="00366539" w:rsidRDefault="00366539" w:rsidP="00366539">
      <w:pPr>
        <w:jc w:val="right"/>
        <w:rPr>
          <w:lang w:val="lt-LT"/>
        </w:rPr>
      </w:pPr>
      <w:r>
        <w:rPr>
          <w:lang w:val="lt-LT"/>
        </w:rPr>
        <w:t>1 lentelė</w:t>
      </w:r>
    </w:p>
    <w:tbl>
      <w:tblPr>
        <w:tblStyle w:val="Lentelstinklelis"/>
        <w:tblW w:w="9747" w:type="dxa"/>
        <w:tblLook w:val="0000" w:firstRow="0" w:lastRow="0" w:firstColumn="0" w:lastColumn="0" w:noHBand="0" w:noVBand="0"/>
      </w:tblPr>
      <w:tblGrid>
        <w:gridCol w:w="1283"/>
        <w:gridCol w:w="1284"/>
        <w:gridCol w:w="1284"/>
        <w:gridCol w:w="2178"/>
        <w:gridCol w:w="1753"/>
        <w:gridCol w:w="1965"/>
      </w:tblGrid>
      <w:tr w:rsidR="00366539" w:rsidTr="00760F95">
        <w:tc>
          <w:tcPr>
            <w:tcW w:w="3851" w:type="dxa"/>
            <w:gridSpan w:val="3"/>
          </w:tcPr>
          <w:p w:rsidR="00366539" w:rsidRDefault="00366539" w:rsidP="00760F95">
            <w:pPr>
              <w:jc w:val="center"/>
              <w:rPr>
                <w:lang w:val="lt-LT"/>
              </w:rPr>
            </w:pPr>
            <w:r>
              <w:rPr>
                <w:lang w:val="lt-LT"/>
              </w:rPr>
              <w:t>Didžiausieji leidžiami matmenys viršyti, cm</w:t>
            </w:r>
          </w:p>
        </w:tc>
        <w:tc>
          <w:tcPr>
            <w:tcW w:w="5896" w:type="dxa"/>
            <w:gridSpan w:val="3"/>
          </w:tcPr>
          <w:p w:rsidR="00366539" w:rsidRDefault="00366539" w:rsidP="00760F95">
            <w:pPr>
              <w:jc w:val="center"/>
              <w:rPr>
                <w:lang w:val="lt-LT"/>
              </w:rPr>
            </w:pPr>
            <w:r>
              <w:rPr>
                <w:lang w:val="lt-LT"/>
              </w:rPr>
              <w:t xml:space="preserve">Tarifai, </w:t>
            </w:r>
            <w:proofErr w:type="spellStart"/>
            <w:r>
              <w:rPr>
                <w:lang w:val="lt-LT"/>
              </w:rPr>
              <w:t>Eur</w:t>
            </w:r>
            <w:proofErr w:type="spellEnd"/>
          </w:p>
        </w:tc>
      </w:tr>
      <w:tr w:rsidR="00366539" w:rsidTr="00760F95">
        <w:trPr>
          <w:trHeight w:val="667"/>
        </w:trPr>
        <w:tc>
          <w:tcPr>
            <w:tcW w:w="1283" w:type="dxa"/>
          </w:tcPr>
          <w:p w:rsidR="00366539" w:rsidRDefault="00366539" w:rsidP="00760F95">
            <w:pPr>
              <w:rPr>
                <w:lang w:val="lt-LT"/>
              </w:rPr>
            </w:pPr>
            <w:r>
              <w:rPr>
                <w:lang w:val="lt-LT"/>
              </w:rPr>
              <w:t>aukščio</w:t>
            </w:r>
          </w:p>
        </w:tc>
        <w:tc>
          <w:tcPr>
            <w:tcW w:w="1284" w:type="dxa"/>
          </w:tcPr>
          <w:p w:rsidR="00366539" w:rsidRDefault="00366539" w:rsidP="00760F95">
            <w:pPr>
              <w:rPr>
                <w:lang w:val="lt-LT"/>
              </w:rPr>
            </w:pPr>
            <w:r>
              <w:rPr>
                <w:lang w:val="lt-LT"/>
              </w:rPr>
              <w:t>pločio</w:t>
            </w:r>
          </w:p>
        </w:tc>
        <w:tc>
          <w:tcPr>
            <w:tcW w:w="1284" w:type="dxa"/>
          </w:tcPr>
          <w:p w:rsidR="00366539" w:rsidRDefault="00366539" w:rsidP="00760F95">
            <w:pPr>
              <w:rPr>
                <w:lang w:val="lt-LT"/>
              </w:rPr>
            </w:pPr>
            <w:r>
              <w:rPr>
                <w:lang w:val="lt-LT"/>
              </w:rPr>
              <w:t>ilgio</w:t>
            </w:r>
          </w:p>
        </w:tc>
        <w:tc>
          <w:tcPr>
            <w:tcW w:w="2178" w:type="dxa"/>
          </w:tcPr>
          <w:p w:rsidR="00366539" w:rsidRDefault="00366539" w:rsidP="00760F95">
            <w:pPr>
              <w:jc w:val="center"/>
              <w:rPr>
                <w:lang w:val="lt-LT"/>
              </w:rPr>
            </w:pPr>
            <w:r>
              <w:rPr>
                <w:lang w:val="lt-LT"/>
              </w:rPr>
              <w:t>Vienkartinis tarifas 10 kilometrų</w:t>
            </w:r>
          </w:p>
        </w:tc>
        <w:tc>
          <w:tcPr>
            <w:tcW w:w="1753" w:type="dxa"/>
          </w:tcPr>
          <w:p w:rsidR="00366539" w:rsidRDefault="00366539" w:rsidP="00760F95">
            <w:pPr>
              <w:jc w:val="center"/>
              <w:rPr>
                <w:lang w:val="lt-LT"/>
              </w:rPr>
            </w:pPr>
            <w:r>
              <w:rPr>
                <w:lang w:val="lt-LT"/>
              </w:rPr>
              <w:t>Mėnesio tarifas</w:t>
            </w:r>
          </w:p>
          <w:p w:rsidR="00366539" w:rsidRDefault="00366539" w:rsidP="00760F95">
            <w:pPr>
              <w:jc w:val="center"/>
              <w:rPr>
                <w:lang w:val="lt-LT"/>
              </w:rPr>
            </w:pPr>
          </w:p>
        </w:tc>
        <w:tc>
          <w:tcPr>
            <w:tcW w:w="1965" w:type="dxa"/>
          </w:tcPr>
          <w:p w:rsidR="00366539" w:rsidRDefault="00366539" w:rsidP="00760F95">
            <w:pPr>
              <w:jc w:val="center"/>
              <w:rPr>
                <w:lang w:val="lt-LT"/>
              </w:rPr>
            </w:pPr>
            <w:r>
              <w:rPr>
                <w:lang w:val="lt-LT"/>
              </w:rPr>
              <w:t>Metų tarifas</w:t>
            </w:r>
          </w:p>
          <w:p w:rsidR="00366539" w:rsidRDefault="00366539" w:rsidP="00760F95">
            <w:pPr>
              <w:jc w:val="center"/>
              <w:rPr>
                <w:lang w:val="lt-LT"/>
              </w:rPr>
            </w:pPr>
          </w:p>
        </w:tc>
      </w:tr>
      <w:tr w:rsidR="00366539" w:rsidTr="00760F95">
        <w:tc>
          <w:tcPr>
            <w:tcW w:w="1283" w:type="dxa"/>
          </w:tcPr>
          <w:p w:rsidR="00366539" w:rsidRDefault="00366539" w:rsidP="00760F95">
            <w:pPr>
              <w:jc w:val="center"/>
              <w:rPr>
                <w:lang w:val="lt-LT"/>
              </w:rPr>
            </w:pPr>
            <w:r>
              <w:rPr>
                <w:lang w:val="lt-LT"/>
              </w:rPr>
              <w:t>–</w:t>
            </w:r>
          </w:p>
        </w:tc>
        <w:tc>
          <w:tcPr>
            <w:tcW w:w="1284" w:type="dxa"/>
          </w:tcPr>
          <w:p w:rsidR="00366539" w:rsidRDefault="00366539" w:rsidP="00760F95">
            <w:pPr>
              <w:jc w:val="center"/>
              <w:rPr>
                <w:lang w:val="lt-LT"/>
              </w:rPr>
            </w:pPr>
            <w:r>
              <w:rPr>
                <w:lang w:val="lt-LT"/>
              </w:rPr>
              <w:t>10–20</w:t>
            </w:r>
          </w:p>
        </w:tc>
        <w:tc>
          <w:tcPr>
            <w:tcW w:w="1284" w:type="dxa"/>
          </w:tcPr>
          <w:p w:rsidR="00366539" w:rsidRDefault="00366539" w:rsidP="00760F95">
            <w:pPr>
              <w:jc w:val="center"/>
              <w:rPr>
                <w:lang w:val="lt-LT"/>
              </w:rPr>
            </w:pPr>
            <w:r>
              <w:rPr>
                <w:lang w:val="lt-LT"/>
              </w:rPr>
              <w:t>–</w:t>
            </w:r>
          </w:p>
        </w:tc>
        <w:tc>
          <w:tcPr>
            <w:tcW w:w="2178" w:type="dxa"/>
          </w:tcPr>
          <w:p w:rsidR="00366539" w:rsidRDefault="00366539" w:rsidP="00760F95">
            <w:pPr>
              <w:jc w:val="center"/>
              <w:rPr>
                <w:lang w:val="lt-LT"/>
              </w:rPr>
            </w:pPr>
            <w:r>
              <w:rPr>
                <w:lang w:val="lt-LT"/>
              </w:rPr>
              <w:t>1,4</w:t>
            </w:r>
          </w:p>
        </w:tc>
        <w:tc>
          <w:tcPr>
            <w:tcW w:w="1753" w:type="dxa"/>
          </w:tcPr>
          <w:p w:rsidR="00366539" w:rsidRDefault="00366539" w:rsidP="00760F95">
            <w:pPr>
              <w:jc w:val="center"/>
              <w:rPr>
                <w:lang w:val="lt-LT"/>
              </w:rPr>
            </w:pPr>
            <w:r>
              <w:rPr>
                <w:lang w:val="lt-LT"/>
              </w:rPr>
              <w:t>67</w:t>
            </w:r>
          </w:p>
        </w:tc>
        <w:tc>
          <w:tcPr>
            <w:tcW w:w="1965" w:type="dxa"/>
          </w:tcPr>
          <w:p w:rsidR="00366539" w:rsidRDefault="00366539" w:rsidP="00760F95">
            <w:pPr>
              <w:jc w:val="center"/>
              <w:rPr>
                <w:lang w:val="lt-LT"/>
              </w:rPr>
            </w:pPr>
            <w:r>
              <w:rPr>
                <w:lang w:val="lt-LT"/>
              </w:rPr>
              <w:t>337</w:t>
            </w:r>
          </w:p>
        </w:tc>
      </w:tr>
      <w:tr w:rsidR="00366539" w:rsidTr="00760F95">
        <w:tc>
          <w:tcPr>
            <w:tcW w:w="1283" w:type="dxa"/>
          </w:tcPr>
          <w:p w:rsidR="00366539" w:rsidRDefault="00366539" w:rsidP="00760F95">
            <w:pPr>
              <w:jc w:val="center"/>
              <w:rPr>
                <w:lang w:val="lt-LT"/>
              </w:rPr>
            </w:pPr>
            <w:r>
              <w:rPr>
                <w:lang w:val="lt-LT"/>
              </w:rPr>
              <w:t>11–30</w:t>
            </w:r>
          </w:p>
        </w:tc>
        <w:tc>
          <w:tcPr>
            <w:tcW w:w="1284" w:type="dxa"/>
          </w:tcPr>
          <w:p w:rsidR="00366539" w:rsidRDefault="00366539" w:rsidP="00760F95">
            <w:pPr>
              <w:jc w:val="center"/>
              <w:rPr>
                <w:lang w:val="lt-LT"/>
              </w:rPr>
            </w:pPr>
            <w:r>
              <w:rPr>
                <w:lang w:val="lt-LT"/>
              </w:rPr>
              <w:t>21–60</w:t>
            </w:r>
          </w:p>
        </w:tc>
        <w:tc>
          <w:tcPr>
            <w:tcW w:w="1284" w:type="dxa"/>
          </w:tcPr>
          <w:p w:rsidR="00366539" w:rsidRDefault="00366539" w:rsidP="00760F95">
            <w:pPr>
              <w:jc w:val="center"/>
              <w:rPr>
                <w:lang w:val="lt-LT"/>
              </w:rPr>
            </w:pPr>
            <w:r>
              <w:rPr>
                <w:lang w:val="lt-LT"/>
              </w:rPr>
              <w:t>101–300</w:t>
            </w:r>
          </w:p>
        </w:tc>
        <w:tc>
          <w:tcPr>
            <w:tcW w:w="2178" w:type="dxa"/>
          </w:tcPr>
          <w:p w:rsidR="00366539" w:rsidRDefault="00366539" w:rsidP="00760F95">
            <w:pPr>
              <w:jc w:val="center"/>
              <w:rPr>
                <w:lang w:val="lt-LT"/>
              </w:rPr>
            </w:pPr>
            <w:r>
              <w:rPr>
                <w:lang w:val="lt-LT"/>
              </w:rPr>
              <w:t>1,7</w:t>
            </w:r>
          </w:p>
        </w:tc>
        <w:tc>
          <w:tcPr>
            <w:tcW w:w="1753" w:type="dxa"/>
          </w:tcPr>
          <w:p w:rsidR="00366539" w:rsidRDefault="00366539" w:rsidP="00760F95">
            <w:pPr>
              <w:jc w:val="center"/>
              <w:rPr>
                <w:lang w:val="lt-LT"/>
              </w:rPr>
            </w:pPr>
            <w:r>
              <w:rPr>
                <w:lang w:val="lt-LT"/>
              </w:rPr>
              <w:t>82</w:t>
            </w:r>
          </w:p>
        </w:tc>
        <w:tc>
          <w:tcPr>
            <w:tcW w:w="1965" w:type="dxa"/>
          </w:tcPr>
          <w:p w:rsidR="00366539" w:rsidRDefault="00366539" w:rsidP="00760F95">
            <w:pPr>
              <w:jc w:val="center"/>
              <w:rPr>
                <w:lang w:val="lt-LT"/>
              </w:rPr>
            </w:pPr>
            <w:r>
              <w:rPr>
                <w:lang w:val="lt-LT"/>
              </w:rPr>
              <w:t>412</w:t>
            </w:r>
          </w:p>
        </w:tc>
      </w:tr>
      <w:tr w:rsidR="00366539" w:rsidTr="00760F95">
        <w:tc>
          <w:tcPr>
            <w:tcW w:w="1283" w:type="dxa"/>
          </w:tcPr>
          <w:p w:rsidR="00366539" w:rsidRDefault="00366539" w:rsidP="00760F95">
            <w:pPr>
              <w:jc w:val="center"/>
              <w:rPr>
                <w:lang w:val="lt-LT"/>
              </w:rPr>
            </w:pPr>
            <w:r>
              <w:rPr>
                <w:lang w:val="lt-LT"/>
              </w:rPr>
              <w:t>31–50</w:t>
            </w:r>
          </w:p>
        </w:tc>
        <w:tc>
          <w:tcPr>
            <w:tcW w:w="1284" w:type="dxa"/>
          </w:tcPr>
          <w:p w:rsidR="00366539" w:rsidRDefault="00366539" w:rsidP="00760F95">
            <w:pPr>
              <w:jc w:val="center"/>
              <w:rPr>
                <w:lang w:val="lt-LT"/>
              </w:rPr>
            </w:pPr>
            <w:r>
              <w:rPr>
                <w:lang w:val="lt-LT"/>
              </w:rPr>
              <w:t>61–100</w:t>
            </w:r>
          </w:p>
        </w:tc>
        <w:tc>
          <w:tcPr>
            <w:tcW w:w="1284" w:type="dxa"/>
          </w:tcPr>
          <w:p w:rsidR="00366539" w:rsidRDefault="00366539" w:rsidP="00760F95">
            <w:pPr>
              <w:jc w:val="center"/>
              <w:rPr>
                <w:lang w:val="lt-LT"/>
              </w:rPr>
            </w:pPr>
            <w:r>
              <w:rPr>
                <w:lang w:val="lt-LT"/>
              </w:rPr>
              <w:t>301–500</w:t>
            </w:r>
          </w:p>
        </w:tc>
        <w:tc>
          <w:tcPr>
            <w:tcW w:w="2178" w:type="dxa"/>
          </w:tcPr>
          <w:p w:rsidR="00366539" w:rsidRDefault="00366539" w:rsidP="00760F95">
            <w:pPr>
              <w:jc w:val="center"/>
              <w:rPr>
                <w:lang w:val="lt-LT"/>
              </w:rPr>
            </w:pPr>
            <w:r>
              <w:rPr>
                <w:lang w:val="lt-LT"/>
              </w:rPr>
              <w:t>2,0</w:t>
            </w:r>
          </w:p>
        </w:tc>
        <w:tc>
          <w:tcPr>
            <w:tcW w:w="1753" w:type="dxa"/>
          </w:tcPr>
          <w:p w:rsidR="00366539" w:rsidRDefault="00366539" w:rsidP="00760F95">
            <w:pPr>
              <w:jc w:val="center"/>
              <w:rPr>
                <w:lang w:val="lt-LT"/>
              </w:rPr>
            </w:pPr>
            <w:r>
              <w:rPr>
                <w:lang w:val="lt-LT"/>
              </w:rPr>
              <w:t>95</w:t>
            </w:r>
          </w:p>
        </w:tc>
        <w:tc>
          <w:tcPr>
            <w:tcW w:w="1965" w:type="dxa"/>
          </w:tcPr>
          <w:p w:rsidR="00366539" w:rsidRDefault="00366539" w:rsidP="00760F95">
            <w:pPr>
              <w:jc w:val="center"/>
              <w:rPr>
                <w:lang w:val="lt-LT"/>
              </w:rPr>
            </w:pPr>
            <w:r>
              <w:rPr>
                <w:lang w:val="lt-LT"/>
              </w:rPr>
              <w:t>480</w:t>
            </w:r>
          </w:p>
        </w:tc>
      </w:tr>
    </w:tbl>
    <w:p w:rsidR="00366539" w:rsidRDefault="00366539" w:rsidP="00366539">
      <w:pPr>
        <w:jc w:val="both"/>
        <w:rPr>
          <w:lang w:val="lt-LT" w:eastAsia="lt-LT"/>
        </w:rPr>
      </w:pPr>
    </w:p>
    <w:p w:rsidR="00366539" w:rsidRPr="008F61FE" w:rsidRDefault="00366539" w:rsidP="00366539">
      <w:pPr>
        <w:tabs>
          <w:tab w:val="left" w:pos="851"/>
        </w:tabs>
        <w:jc w:val="both"/>
        <w:rPr>
          <w:lang w:val="lt-LT" w:eastAsia="lt-LT"/>
        </w:rPr>
      </w:pPr>
      <w:r>
        <w:rPr>
          <w:lang w:val="lt-LT" w:eastAsia="lt-LT"/>
        </w:rPr>
        <w:tab/>
        <w:t>PASTABA</w:t>
      </w:r>
      <w:r w:rsidRPr="008F61FE">
        <w:rPr>
          <w:lang w:val="lt-LT" w:eastAsia="lt-LT"/>
        </w:rPr>
        <w:t xml:space="preserve">. Jeigu </w:t>
      </w:r>
      <w:proofErr w:type="spellStart"/>
      <w:r>
        <w:rPr>
          <w:lang w:val="lt-LT" w:eastAsia="lt-LT"/>
        </w:rPr>
        <w:t>didžiagabaritės</w:t>
      </w:r>
      <w:proofErr w:type="spellEnd"/>
      <w:r>
        <w:rPr>
          <w:lang w:val="lt-LT" w:eastAsia="lt-LT"/>
        </w:rPr>
        <w:t xml:space="preserve"> motorinės transporto </w:t>
      </w:r>
      <w:r w:rsidRPr="008F61FE">
        <w:rPr>
          <w:lang w:val="lt-LT" w:eastAsia="lt-LT"/>
        </w:rPr>
        <w:t>priemonės ar jų junginio matmenys su</w:t>
      </w:r>
      <w:r>
        <w:rPr>
          <w:lang w:val="lt-LT" w:eastAsia="lt-LT"/>
        </w:rPr>
        <w:t xml:space="preserve"> </w:t>
      </w:r>
      <w:r w:rsidRPr="008F61FE">
        <w:rPr>
          <w:lang w:val="lt-LT" w:eastAsia="lt-LT"/>
        </w:rPr>
        <w:t xml:space="preserve">kroviniu ar be jo </w:t>
      </w:r>
      <w:r>
        <w:rPr>
          <w:lang w:val="lt-LT" w:eastAsia="lt-LT"/>
        </w:rPr>
        <w:t xml:space="preserve">viršija didžiausiuosius leidžiamus naudojantis keliais transporto priemonių ar jų junginių matmenis </w:t>
      </w:r>
      <w:r w:rsidRPr="008F61FE">
        <w:rPr>
          <w:lang w:val="lt-LT" w:eastAsia="lt-LT"/>
        </w:rPr>
        <w:t xml:space="preserve">daugiau, negu nurodyta </w:t>
      </w:r>
      <w:r>
        <w:rPr>
          <w:lang w:val="lt-LT" w:eastAsia="lt-LT"/>
        </w:rPr>
        <w:t xml:space="preserve">1 </w:t>
      </w:r>
      <w:r w:rsidRPr="008F61FE">
        <w:rPr>
          <w:lang w:val="lt-LT" w:eastAsia="lt-LT"/>
        </w:rPr>
        <w:t xml:space="preserve">lentelėje, </w:t>
      </w:r>
      <w:proofErr w:type="spellStart"/>
      <w:r>
        <w:rPr>
          <w:lang w:val="lt-LT" w:eastAsia="lt-LT"/>
        </w:rPr>
        <w:t>didžiagabaritė</w:t>
      </w:r>
      <w:proofErr w:type="spellEnd"/>
      <w:r>
        <w:rPr>
          <w:lang w:val="lt-LT" w:eastAsia="lt-LT"/>
        </w:rPr>
        <w:t xml:space="preserve"> motorinė </w:t>
      </w:r>
      <w:r w:rsidRPr="008F61FE">
        <w:rPr>
          <w:lang w:val="lt-LT" w:eastAsia="lt-LT"/>
        </w:rPr>
        <w:t>transporto priemonė ar</w:t>
      </w:r>
      <w:r>
        <w:rPr>
          <w:lang w:val="lt-LT" w:eastAsia="lt-LT"/>
        </w:rPr>
        <w:t xml:space="preserve"> jų </w:t>
      </w:r>
      <w:r w:rsidRPr="008F61FE">
        <w:rPr>
          <w:lang w:val="lt-LT" w:eastAsia="lt-LT"/>
        </w:rPr>
        <w:t>junginys tampa ypač pavojingi saugiam eismui. Tokioms</w:t>
      </w:r>
      <w:r>
        <w:rPr>
          <w:lang w:val="lt-LT" w:eastAsia="lt-LT"/>
        </w:rPr>
        <w:t xml:space="preserve"> </w:t>
      </w:r>
      <w:proofErr w:type="spellStart"/>
      <w:r w:rsidRPr="008F61FE">
        <w:rPr>
          <w:lang w:val="lt-LT" w:eastAsia="lt-LT"/>
        </w:rPr>
        <w:t>didžiagabaritėms</w:t>
      </w:r>
      <w:proofErr w:type="spellEnd"/>
      <w:r w:rsidRPr="008F61FE">
        <w:rPr>
          <w:lang w:val="lt-LT" w:eastAsia="lt-LT"/>
        </w:rPr>
        <w:t xml:space="preserve"> motorinėms transporto priemonėms ar jų</w:t>
      </w:r>
      <w:r>
        <w:rPr>
          <w:lang w:val="lt-LT" w:eastAsia="lt-LT"/>
        </w:rPr>
        <w:t xml:space="preserve"> </w:t>
      </w:r>
      <w:r w:rsidRPr="008F61FE">
        <w:rPr>
          <w:lang w:val="lt-LT" w:eastAsia="lt-LT"/>
        </w:rPr>
        <w:t>junginiams taikomas vienkartinis mokestis, kuris ap</w:t>
      </w:r>
      <w:r>
        <w:rPr>
          <w:lang w:val="lt-LT" w:eastAsia="lt-LT"/>
        </w:rPr>
        <w:t>s</w:t>
      </w:r>
      <w:r w:rsidRPr="008F61FE">
        <w:rPr>
          <w:lang w:val="lt-LT" w:eastAsia="lt-LT"/>
        </w:rPr>
        <w:t>kaičiuojamas</w:t>
      </w:r>
      <w:r>
        <w:rPr>
          <w:lang w:val="lt-LT" w:eastAsia="lt-LT"/>
        </w:rPr>
        <w:t xml:space="preserve"> </w:t>
      </w:r>
      <w:r w:rsidRPr="008F61FE">
        <w:rPr>
          <w:lang w:val="lt-LT" w:eastAsia="lt-LT"/>
        </w:rPr>
        <w:t xml:space="preserve">taip: prie didžiausiojo ribinio tarifo </w:t>
      </w:r>
      <w:r>
        <w:rPr>
          <w:lang w:val="lt-LT" w:eastAsia="lt-LT"/>
        </w:rPr>
        <w:t xml:space="preserve">už atitinkamo didžiausiojo leidžiamojo matmens viršijimą </w:t>
      </w:r>
      <w:r w:rsidRPr="008F61FE">
        <w:rPr>
          <w:lang w:val="lt-LT" w:eastAsia="lt-LT"/>
        </w:rPr>
        <w:t>pridedamas papildomas 0,28</w:t>
      </w:r>
      <w:r>
        <w:rPr>
          <w:lang w:val="lt-LT" w:eastAsia="lt-LT"/>
        </w:rPr>
        <w:t xml:space="preserve"> </w:t>
      </w:r>
      <w:r w:rsidRPr="008F61FE">
        <w:rPr>
          <w:lang w:val="lt-LT" w:eastAsia="lt-LT"/>
        </w:rPr>
        <w:t>euro mokestis už kiekvien</w:t>
      </w:r>
      <w:r>
        <w:rPr>
          <w:lang w:val="lt-LT" w:eastAsia="lt-LT"/>
        </w:rPr>
        <w:t xml:space="preserve">ą aukščio viršijimą 10 cm, pločio viršijimą 10 cm ar ilgio viršijimą 1 m ir </w:t>
      </w:r>
      <w:r w:rsidRPr="008F61FE">
        <w:rPr>
          <w:lang w:val="lt-LT" w:eastAsia="lt-LT"/>
        </w:rPr>
        <w:t>dauginama iš</w:t>
      </w:r>
      <w:r>
        <w:rPr>
          <w:lang w:val="lt-LT" w:eastAsia="lt-LT"/>
        </w:rPr>
        <w:t xml:space="preserve"> </w:t>
      </w:r>
      <w:r w:rsidRPr="008F61FE">
        <w:rPr>
          <w:lang w:val="lt-LT" w:eastAsia="lt-LT"/>
        </w:rPr>
        <w:t>koeficiento 1,5. Visais atvejais, jeigu viršijami du ar visi trys</w:t>
      </w:r>
      <w:r>
        <w:rPr>
          <w:lang w:val="lt-LT" w:eastAsia="lt-LT"/>
        </w:rPr>
        <w:t xml:space="preserve"> </w:t>
      </w:r>
      <w:r w:rsidRPr="008F61FE">
        <w:rPr>
          <w:lang w:val="lt-LT" w:eastAsia="lt-LT"/>
        </w:rPr>
        <w:t xml:space="preserve">matmenys, mokestis nustatomas sumuojant </w:t>
      </w:r>
      <w:r>
        <w:rPr>
          <w:lang w:val="lt-LT" w:eastAsia="lt-LT"/>
        </w:rPr>
        <w:t xml:space="preserve">mokesčius </w:t>
      </w:r>
      <w:r w:rsidRPr="008F61FE">
        <w:rPr>
          <w:lang w:val="lt-LT" w:eastAsia="lt-LT"/>
        </w:rPr>
        <w:t>už atskirų</w:t>
      </w:r>
      <w:r>
        <w:rPr>
          <w:lang w:val="lt-LT" w:eastAsia="lt-LT"/>
        </w:rPr>
        <w:t xml:space="preserve"> </w:t>
      </w:r>
      <w:r w:rsidRPr="008F61FE">
        <w:rPr>
          <w:lang w:val="lt-LT" w:eastAsia="lt-LT"/>
        </w:rPr>
        <w:t>didžiausiųjų leidžiamųjų matmenų viršijimą.</w:t>
      </w:r>
    </w:p>
    <w:p w:rsidR="00366539"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bookmarkStart w:id="0" w:name="12skr"/>
      <w:bookmarkEnd w:id="0"/>
      <w:r>
        <w:rPr>
          <w:rFonts w:ascii="Times New Roman" w:hAnsi="Times New Roman" w:cs="Times New Roman"/>
          <w:sz w:val="24"/>
          <w:szCs w:val="24"/>
        </w:rPr>
        <w:tab/>
      </w:r>
      <w:r>
        <w:rPr>
          <w:rFonts w:ascii="Times New Roman" w:hAnsi="Times New Roman" w:cs="Times New Roman"/>
          <w:sz w:val="24"/>
          <w:szCs w:val="24"/>
        </w:rPr>
        <w:t>2</w:t>
      </w:r>
      <w:r w:rsidRPr="00AB7058">
        <w:rPr>
          <w:rFonts w:ascii="Times New Roman" w:hAnsi="Times New Roman" w:cs="Times New Roman"/>
          <w:sz w:val="24"/>
          <w:szCs w:val="24"/>
        </w:rPr>
        <w:t>. Mokesčio už naudojimąsi keliais sunkiasvorėmis motorinėmis</w:t>
      </w:r>
      <w:r>
        <w:rPr>
          <w:rFonts w:ascii="Times New Roman" w:hAnsi="Times New Roman" w:cs="Times New Roman"/>
          <w:sz w:val="24"/>
          <w:szCs w:val="24"/>
        </w:rPr>
        <w:t xml:space="preserve"> </w:t>
      </w:r>
      <w:r w:rsidRPr="00AB7058">
        <w:rPr>
          <w:rFonts w:ascii="Times New Roman" w:hAnsi="Times New Roman" w:cs="Times New Roman"/>
          <w:sz w:val="24"/>
          <w:szCs w:val="24"/>
        </w:rPr>
        <w:t>transporto priemonėmis, kurių ašies (ašių) apkrova su kroviniu ar</w:t>
      </w:r>
      <w:r>
        <w:rPr>
          <w:rFonts w:ascii="Times New Roman" w:hAnsi="Times New Roman" w:cs="Times New Roman"/>
          <w:sz w:val="24"/>
          <w:szCs w:val="24"/>
        </w:rPr>
        <w:t xml:space="preserve"> </w:t>
      </w:r>
      <w:r w:rsidRPr="00AB7058">
        <w:rPr>
          <w:rFonts w:ascii="Times New Roman" w:hAnsi="Times New Roman" w:cs="Times New Roman"/>
          <w:sz w:val="24"/>
          <w:szCs w:val="24"/>
        </w:rPr>
        <w:t>be jo yra didesnė už didžiausiąją leidžiamą naudojantis keliais</w:t>
      </w:r>
      <w:r>
        <w:rPr>
          <w:rFonts w:ascii="Times New Roman" w:hAnsi="Times New Roman" w:cs="Times New Roman"/>
          <w:sz w:val="24"/>
          <w:szCs w:val="24"/>
        </w:rPr>
        <w:t xml:space="preserve"> </w:t>
      </w:r>
      <w:r w:rsidRPr="00AB7058">
        <w:rPr>
          <w:rFonts w:ascii="Times New Roman" w:hAnsi="Times New Roman" w:cs="Times New Roman"/>
          <w:sz w:val="24"/>
          <w:szCs w:val="24"/>
        </w:rPr>
        <w:t>transporto priemonių ar jų junginių ašies (ašių) apkrovą (toliau</w:t>
      </w:r>
      <w:r>
        <w:rPr>
          <w:rFonts w:ascii="Times New Roman" w:hAnsi="Times New Roman" w:cs="Times New Roman"/>
          <w:sz w:val="24"/>
          <w:szCs w:val="24"/>
        </w:rPr>
        <w:t xml:space="preserve"> – </w:t>
      </w:r>
      <w:r w:rsidRPr="00AB7058">
        <w:rPr>
          <w:rFonts w:ascii="Times New Roman" w:hAnsi="Times New Roman" w:cs="Times New Roman"/>
          <w:sz w:val="24"/>
          <w:szCs w:val="24"/>
        </w:rPr>
        <w:t>didžiausioji leidžiamoji ašies (ašių) apkrova),</w:t>
      </w:r>
      <w:r>
        <w:rPr>
          <w:rFonts w:ascii="Times New Roman" w:hAnsi="Times New Roman" w:cs="Times New Roman"/>
          <w:sz w:val="24"/>
          <w:szCs w:val="24"/>
        </w:rPr>
        <w:t xml:space="preserve"> </w:t>
      </w:r>
      <w:r w:rsidRPr="00AB7058">
        <w:rPr>
          <w:rFonts w:ascii="Times New Roman" w:hAnsi="Times New Roman" w:cs="Times New Roman"/>
          <w:sz w:val="24"/>
          <w:szCs w:val="24"/>
        </w:rPr>
        <w:t>tarifai:</w:t>
      </w:r>
    </w:p>
    <w:p w:rsidR="00366539" w:rsidRDefault="00366539" w:rsidP="00366539">
      <w:pPr>
        <w:jc w:val="right"/>
        <w:rPr>
          <w:lang w:val="lt-LT"/>
        </w:rPr>
      </w:pPr>
      <w:r>
        <w:rPr>
          <w:lang w:val="lt-LT"/>
        </w:rPr>
        <w:t>2 lentelė</w:t>
      </w:r>
    </w:p>
    <w:tbl>
      <w:tblPr>
        <w:tblStyle w:val="Lentelstinklelis"/>
        <w:tblW w:w="9747" w:type="dxa"/>
        <w:tblLook w:val="0000" w:firstRow="0" w:lastRow="0" w:firstColumn="0" w:lastColumn="0" w:noHBand="0" w:noVBand="0"/>
      </w:tblPr>
      <w:tblGrid>
        <w:gridCol w:w="3598"/>
        <w:gridCol w:w="3179"/>
        <w:gridCol w:w="2970"/>
      </w:tblGrid>
      <w:tr w:rsidR="00366539" w:rsidTr="00760F95">
        <w:tc>
          <w:tcPr>
            <w:tcW w:w="3598" w:type="dxa"/>
            <w:vMerge w:val="restart"/>
          </w:tcPr>
          <w:p w:rsidR="00366539" w:rsidRDefault="00366539" w:rsidP="00760F95">
            <w:pPr>
              <w:jc w:val="center"/>
              <w:rPr>
                <w:lang w:val="lt-LT"/>
              </w:rPr>
            </w:pPr>
            <w:r>
              <w:rPr>
                <w:lang w:val="lt-LT"/>
              </w:rPr>
              <w:t>Didžiausioji leidžiama ašies (ašių) apkrova viršyta, t</w:t>
            </w:r>
          </w:p>
        </w:tc>
        <w:tc>
          <w:tcPr>
            <w:tcW w:w="6149" w:type="dxa"/>
            <w:gridSpan w:val="2"/>
          </w:tcPr>
          <w:p w:rsidR="00366539" w:rsidRDefault="00366539" w:rsidP="00760F95">
            <w:pPr>
              <w:jc w:val="center"/>
              <w:rPr>
                <w:lang w:val="lt-LT"/>
              </w:rPr>
            </w:pPr>
            <w:r>
              <w:rPr>
                <w:lang w:val="lt-LT"/>
              </w:rPr>
              <w:t xml:space="preserve">Tarifai, </w:t>
            </w:r>
            <w:proofErr w:type="spellStart"/>
            <w:r>
              <w:rPr>
                <w:lang w:val="lt-LT"/>
              </w:rPr>
              <w:t>Eur</w:t>
            </w:r>
            <w:proofErr w:type="spellEnd"/>
          </w:p>
        </w:tc>
      </w:tr>
      <w:tr w:rsidR="00366539" w:rsidTr="00760F95">
        <w:trPr>
          <w:trHeight w:val="630"/>
        </w:trPr>
        <w:tc>
          <w:tcPr>
            <w:tcW w:w="0" w:type="auto"/>
            <w:vMerge/>
          </w:tcPr>
          <w:p w:rsidR="00366539" w:rsidRDefault="00366539" w:rsidP="00760F95">
            <w:pPr>
              <w:rPr>
                <w:lang w:val="lt-LT"/>
              </w:rPr>
            </w:pPr>
          </w:p>
        </w:tc>
        <w:tc>
          <w:tcPr>
            <w:tcW w:w="3179" w:type="dxa"/>
          </w:tcPr>
          <w:p w:rsidR="00366539" w:rsidRDefault="00366539" w:rsidP="00760F95">
            <w:pPr>
              <w:jc w:val="center"/>
              <w:rPr>
                <w:lang w:val="lt-LT"/>
              </w:rPr>
            </w:pPr>
            <w:r>
              <w:rPr>
                <w:lang w:val="lt-LT"/>
              </w:rPr>
              <w:t xml:space="preserve">Vienkartinis tarifas </w:t>
            </w:r>
          </w:p>
          <w:p w:rsidR="00366539" w:rsidRDefault="00366539" w:rsidP="00760F95">
            <w:pPr>
              <w:jc w:val="center"/>
              <w:rPr>
                <w:lang w:val="lt-LT"/>
              </w:rPr>
            </w:pPr>
            <w:r>
              <w:rPr>
                <w:lang w:val="lt-LT"/>
              </w:rPr>
              <w:t>10 kilometrų</w:t>
            </w:r>
          </w:p>
        </w:tc>
        <w:tc>
          <w:tcPr>
            <w:tcW w:w="2970" w:type="dxa"/>
          </w:tcPr>
          <w:p w:rsidR="00366539" w:rsidRDefault="00366539" w:rsidP="00760F95">
            <w:pPr>
              <w:jc w:val="center"/>
              <w:rPr>
                <w:lang w:val="lt-LT"/>
              </w:rPr>
            </w:pPr>
            <w:r>
              <w:rPr>
                <w:lang w:val="lt-LT"/>
              </w:rPr>
              <w:t>Mėnesio tarifas</w:t>
            </w:r>
          </w:p>
        </w:tc>
      </w:tr>
      <w:tr w:rsidR="00366539" w:rsidTr="00760F95">
        <w:trPr>
          <w:trHeight w:val="195"/>
        </w:trPr>
        <w:tc>
          <w:tcPr>
            <w:tcW w:w="3598" w:type="dxa"/>
          </w:tcPr>
          <w:p w:rsidR="00366539" w:rsidRDefault="00366539" w:rsidP="00760F95">
            <w:pPr>
              <w:jc w:val="center"/>
              <w:rPr>
                <w:lang w:val="lt-LT"/>
              </w:rPr>
            </w:pPr>
            <w:r>
              <w:rPr>
                <w:lang w:val="lt-LT"/>
              </w:rPr>
              <w:t>0,6–1</w:t>
            </w:r>
          </w:p>
        </w:tc>
        <w:tc>
          <w:tcPr>
            <w:tcW w:w="3179" w:type="dxa"/>
          </w:tcPr>
          <w:p w:rsidR="00366539" w:rsidRDefault="00366539" w:rsidP="00760F95">
            <w:pPr>
              <w:jc w:val="center"/>
              <w:rPr>
                <w:lang w:val="lt-LT"/>
              </w:rPr>
            </w:pPr>
            <w:r>
              <w:rPr>
                <w:lang w:val="lt-LT"/>
              </w:rPr>
              <w:t>0,69</w:t>
            </w:r>
          </w:p>
        </w:tc>
        <w:tc>
          <w:tcPr>
            <w:tcW w:w="2970" w:type="dxa"/>
          </w:tcPr>
          <w:p w:rsidR="00366539" w:rsidRDefault="00366539" w:rsidP="00760F95">
            <w:pPr>
              <w:jc w:val="center"/>
              <w:rPr>
                <w:lang w:val="lt-LT"/>
              </w:rPr>
            </w:pPr>
            <w:r>
              <w:rPr>
                <w:lang w:val="lt-LT"/>
              </w:rPr>
              <w:t>48</w:t>
            </w:r>
          </w:p>
        </w:tc>
      </w:tr>
      <w:tr w:rsidR="00366539" w:rsidTr="00760F95">
        <w:tc>
          <w:tcPr>
            <w:tcW w:w="3598" w:type="dxa"/>
          </w:tcPr>
          <w:p w:rsidR="00366539" w:rsidRDefault="00366539" w:rsidP="00760F95">
            <w:pPr>
              <w:jc w:val="center"/>
              <w:rPr>
                <w:lang w:val="lt-LT"/>
              </w:rPr>
            </w:pPr>
            <w:r>
              <w:rPr>
                <w:lang w:val="lt-LT"/>
              </w:rPr>
              <w:t>1,1–1,5</w:t>
            </w:r>
          </w:p>
        </w:tc>
        <w:tc>
          <w:tcPr>
            <w:tcW w:w="3179" w:type="dxa"/>
          </w:tcPr>
          <w:p w:rsidR="00366539" w:rsidRDefault="00366539" w:rsidP="00760F95">
            <w:pPr>
              <w:jc w:val="center"/>
              <w:rPr>
                <w:lang w:val="lt-LT"/>
              </w:rPr>
            </w:pPr>
            <w:r>
              <w:rPr>
                <w:lang w:val="lt-LT"/>
              </w:rPr>
              <w:t>1,39</w:t>
            </w:r>
          </w:p>
        </w:tc>
        <w:tc>
          <w:tcPr>
            <w:tcW w:w="2970" w:type="dxa"/>
          </w:tcPr>
          <w:p w:rsidR="00366539" w:rsidRDefault="00366539" w:rsidP="00760F95">
            <w:pPr>
              <w:jc w:val="center"/>
              <w:rPr>
                <w:lang w:val="lt-LT"/>
              </w:rPr>
            </w:pPr>
            <w:r>
              <w:rPr>
                <w:lang w:val="lt-LT"/>
              </w:rPr>
              <w:t>97</w:t>
            </w:r>
          </w:p>
        </w:tc>
      </w:tr>
      <w:tr w:rsidR="00366539" w:rsidTr="00760F95">
        <w:tc>
          <w:tcPr>
            <w:tcW w:w="3598" w:type="dxa"/>
          </w:tcPr>
          <w:p w:rsidR="00366539" w:rsidRDefault="00366539" w:rsidP="00760F95">
            <w:pPr>
              <w:jc w:val="center"/>
              <w:rPr>
                <w:lang w:val="lt-LT"/>
              </w:rPr>
            </w:pPr>
            <w:r>
              <w:rPr>
                <w:lang w:val="lt-LT"/>
              </w:rPr>
              <w:t>1,6–2</w:t>
            </w:r>
          </w:p>
        </w:tc>
        <w:tc>
          <w:tcPr>
            <w:tcW w:w="3179" w:type="dxa"/>
          </w:tcPr>
          <w:p w:rsidR="00366539" w:rsidRDefault="00366539" w:rsidP="00760F95">
            <w:pPr>
              <w:jc w:val="center"/>
              <w:rPr>
                <w:lang w:val="lt-LT"/>
              </w:rPr>
            </w:pPr>
            <w:r>
              <w:rPr>
                <w:lang w:val="lt-LT"/>
              </w:rPr>
              <w:t>1,94</w:t>
            </w:r>
          </w:p>
        </w:tc>
        <w:tc>
          <w:tcPr>
            <w:tcW w:w="2970" w:type="dxa"/>
          </w:tcPr>
          <w:p w:rsidR="00366539" w:rsidRDefault="00366539" w:rsidP="00760F95">
            <w:pPr>
              <w:jc w:val="center"/>
              <w:rPr>
                <w:lang w:val="lt-LT"/>
              </w:rPr>
            </w:pPr>
            <w:r>
              <w:rPr>
                <w:lang w:val="lt-LT"/>
              </w:rPr>
              <w:t>136</w:t>
            </w:r>
          </w:p>
        </w:tc>
      </w:tr>
      <w:tr w:rsidR="00366539" w:rsidTr="00760F95">
        <w:tc>
          <w:tcPr>
            <w:tcW w:w="3598" w:type="dxa"/>
          </w:tcPr>
          <w:p w:rsidR="00366539" w:rsidRDefault="00366539" w:rsidP="00760F95">
            <w:pPr>
              <w:jc w:val="center"/>
              <w:rPr>
                <w:lang w:val="lt-LT"/>
              </w:rPr>
            </w:pPr>
            <w:r>
              <w:rPr>
                <w:lang w:val="lt-LT"/>
              </w:rPr>
              <w:t>2,1–3</w:t>
            </w:r>
          </w:p>
        </w:tc>
        <w:tc>
          <w:tcPr>
            <w:tcW w:w="3179" w:type="dxa"/>
          </w:tcPr>
          <w:p w:rsidR="00366539" w:rsidRDefault="00366539" w:rsidP="00760F95">
            <w:pPr>
              <w:jc w:val="center"/>
              <w:rPr>
                <w:lang w:val="lt-LT"/>
              </w:rPr>
            </w:pPr>
            <w:r>
              <w:rPr>
                <w:lang w:val="lt-LT"/>
              </w:rPr>
              <w:t>3,47</w:t>
            </w:r>
          </w:p>
        </w:tc>
        <w:tc>
          <w:tcPr>
            <w:tcW w:w="2970" w:type="dxa"/>
          </w:tcPr>
          <w:p w:rsidR="00366539" w:rsidRDefault="00366539" w:rsidP="00760F95">
            <w:pPr>
              <w:jc w:val="center"/>
              <w:rPr>
                <w:lang w:val="lt-LT"/>
              </w:rPr>
            </w:pPr>
            <w:r>
              <w:rPr>
                <w:lang w:val="lt-LT"/>
              </w:rPr>
              <w:t>243</w:t>
            </w:r>
          </w:p>
        </w:tc>
      </w:tr>
      <w:tr w:rsidR="00366539" w:rsidTr="00760F95">
        <w:tc>
          <w:tcPr>
            <w:tcW w:w="3598" w:type="dxa"/>
          </w:tcPr>
          <w:p w:rsidR="00366539" w:rsidRDefault="00366539" w:rsidP="00760F95">
            <w:pPr>
              <w:jc w:val="center"/>
              <w:rPr>
                <w:lang w:val="lt-LT"/>
              </w:rPr>
            </w:pPr>
            <w:r>
              <w:rPr>
                <w:lang w:val="lt-LT"/>
              </w:rPr>
              <w:t>3,1–4</w:t>
            </w:r>
          </w:p>
        </w:tc>
        <w:tc>
          <w:tcPr>
            <w:tcW w:w="3179" w:type="dxa"/>
          </w:tcPr>
          <w:p w:rsidR="00366539" w:rsidRDefault="00366539" w:rsidP="00760F95">
            <w:pPr>
              <w:jc w:val="center"/>
              <w:rPr>
                <w:lang w:val="lt-LT"/>
              </w:rPr>
            </w:pPr>
            <w:r>
              <w:rPr>
                <w:lang w:val="lt-LT"/>
              </w:rPr>
              <w:t>5,56</w:t>
            </w:r>
          </w:p>
        </w:tc>
        <w:tc>
          <w:tcPr>
            <w:tcW w:w="2970" w:type="dxa"/>
          </w:tcPr>
          <w:p w:rsidR="00366539" w:rsidRDefault="00366539" w:rsidP="00760F95">
            <w:pPr>
              <w:jc w:val="center"/>
              <w:rPr>
                <w:lang w:val="lt-LT"/>
              </w:rPr>
            </w:pPr>
            <w:r>
              <w:rPr>
                <w:lang w:val="lt-LT"/>
              </w:rPr>
              <w:t>389</w:t>
            </w:r>
          </w:p>
        </w:tc>
      </w:tr>
      <w:tr w:rsidR="00366539" w:rsidTr="00760F95">
        <w:tc>
          <w:tcPr>
            <w:tcW w:w="3598" w:type="dxa"/>
          </w:tcPr>
          <w:p w:rsidR="00366539" w:rsidRDefault="00366539" w:rsidP="00760F95">
            <w:pPr>
              <w:jc w:val="center"/>
              <w:rPr>
                <w:lang w:val="lt-LT"/>
              </w:rPr>
            </w:pPr>
            <w:r>
              <w:rPr>
                <w:lang w:val="lt-LT"/>
              </w:rPr>
              <w:t>4,1–5</w:t>
            </w:r>
          </w:p>
        </w:tc>
        <w:tc>
          <w:tcPr>
            <w:tcW w:w="3179" w:type="dxa"/>
          </w:tcPr>
          <w:p w:rsidR="00366539" w:rsidRDefault="00366539" w:rsidP="00760F95">
            <w:pPr>
              <w:jc w:val="center"/>
              <w:rPr>
                <w:lang w:val="lt-LT"/>
              </w:rPr>
            </w:pPr>
            <w:r>
              <w:rPr>
                <w:lang w:val="lt-LT"/>
              </w:rPr>
              <w:t>7,64</w:t>
            </w:r>
          </w:p>
        </w:tc>
        <w:tc>
          <w:tcPr>
            <w:tcW w:w="2970" w:type="dxa"/>
          </w:tcPr>
          <w:p w:rsidR="00366539" w:rsidRDefault="00366539" w:rsidP="00760F95">
            <w:pPr>
              <w:jc w:val="center"/>
              <w:rPr>
                <w:lang w:val="lt-LT"/>
              </w:rPr>
            </w:pPr>
            <w:r>
              <w:rPr>
                <w:lang w:val="lt-LT"/>
              </w:rPr>
              <w:t>–</w:t>
            </w:r>
          </w:p>
        </w:tc>
      </w:tr>
      <w:tr w:rsidR="00366539" w:rsidTr="00760F95">
        <w:tc>
          <w:tcPr>
            <w:tcW w:w="3598" w:type="dxa"/>
          </w:tcPr>
          <w:p w:rsidR="00366539" w:rsidRDefault="00366539" w:rsidP="00760F95">
            <w:pPr>
              <w:jc w:val="center"/>
              <w:rPr>
                <w:lang w:val="lt-LT"/>
              </w:rPr>
            </w:pPr>
            <w:r>
              <w:rPr>
                <w:lang w:val="lt-LT"/>
              </w:rPr>
              <w:t>5,1–6</w:t>
            </w:r>
          </w:p>
        </w:tc>
        <w:tc>
          <w:tcPr>
            <w:tcW w:w="3179" w:type="dxa"/>
          </w:tcPr>
          <w:p w:rsidR="00366539" w:rsidRDefault="00366539" w:rsidP="00760F95">
            <w:pPr>
              <w:jc w:val="center"/>
              <w:rPr>
                <w:lang w:val="lt-LT"/>
              </w:rPr>
            </w:pPr>
            <w:r>
              <w:rPr>
                <w:lang w:val="lt-LT"/>
              </w:rPr>
              <w:t>9,73</w:t>
            </w:r>
          </w:p>
        </w:tc>
        <w:tc>
          <w:tcPr>
            <w:tcW w:w="2970" w:type="dxa"/>
          </w:tcPr>
          <w:p w:rsidR="00366539" w:rsidRDefault="00366539" w:rsidP="00760F95">
            <w:pPr>
              <w:jc w:val="center"/>
              <w:rPr>
                <w:lang w:val="lt-LT"/>
              </w:rPr>
            </w:pPr>
            <w:r>
              <w:rPr>
                <w:lang w:val="lt-LT"/>
              </w:rPr>
              <w:t>–</w:t>
            </w:r>
          </w:p>
        </w:tc>
      </w:tr>
      <w:tr w:rsidR="00366539" w:rsidTr="00760F95">
        <w:tc>
          <w:tcPr>
            <w:tcW w:w="3598" w:type="dxa"/>
          </w:tcPr>
          <w:p w:rsidR="00366539" w:rsidRDefault="00366539" w:rsidP="00760F95">
            <w:pPr>
              <w:jc w:val="center"/>
              <w:rPr>
                <w:lang w:val="lt-LT"/>
              </w:rPr>
            </w:pPr>
            <w:r>
              <w:rPr>
                <w:lang w:val="lt-LT"/>
              </w:rPr>
              <w:t>6,1–7</w:t>
            </w:r>
          </w:p>
        </w:tc>
        <w:tc>
          <w:tcPr>
            <w:tcW w:w="3179" w:type="dxa"/>
          </w:tcPr>
          <w:p w:rsidR="00366539" w:rsidRDefault="00366539" w:rsidP="00760F95">
            <w:pPr>
              <w:jc w:val="center"/>
              <w:rPr>
                <w:lang w:val="lt-LT"/>
              </w:rPr>
            </w:pPr>
            <w:r>
              <w:rPr>
                <w:lang w:val="lt-LT"/>
              </w:rPr>
              <w:t>11,81</w:t>
            </w:r>
          </w:p>
        </w:tc>
        <w:tc>
          <w:tcPr>
            <w:tcW w:w="2970" w:type="dxa"/>
          </w:tcPr>
          <w:p w:rsidR="00366539" w:rsidRDefault="00366539" w:rsidP="00760F95">
            <w:pPr>
              <w:jc w:val="center"/>
              <w:rPr>
                <w:lang w:val="lt-LT"/>
              </w:rPr>
            </w:pPr>
            <w:r>
              <w:rPr>
                <w:lang w:val="lt-LT"/>
              </w:rPr>
              <w:t>–</w:t>
            </w:r>
          </w:p>
        </w:tc>
      </w:tr>
      <w:tr w:rsidR="00366539" w:rsidTr="00760F95">
        <w:tc>
          <w:tcPr>
            <w:tcW w:w="3598" w:type="dxa"/>
          </w:tcPr>
          <w:p w:rsidR="00366539" w:rsidRDefault="00366539" w:rsidP="00760F95">
            <w:pPr>
              <w:jc w:val="center"/>
              <w:rPr>
                <w:lang w:val="lt-LT"/>
              </w:rPr>
            </w:pPr>
            <w:r>
              <w:rPr>
                <w:lang w:val="lt-LT"/>
              </w:rPr>
              <w:t>7,1–8 įskaitytinai</w:t>
            </w:r>
          </w:p>
        </w:tc>
        <w:tc>
          <w:tcPr>
            <w:tcW w:w="3179" w:type="dxa"/>
          </w:tcPr>
          <w:p w:rsidR="00366539" w:rsidRDefault="00366539" w:rsidP="00760F95">
            <w:pPr>
              <w:jc w:val="center"/>
              <w:rPr>
                <w:lang w:val="lt-LT"/>
              </w:rPr>
            </w:pPr>
            <w:r>
              <w:rPr>
                <w:lang w:val="lt-LT"/>
              </w:rPr>
              <w:t>13,90</w:t>
            </w:r>
          </w:p>
        </w:tc>
        <w:tc>
          <w:tcPr>
            <w:tcW w:w="2970" w:type="dxa"/>
          </w:tcPr>
          <w:p w:rsidR="00366539" w:rsidRDefault="00366539" w:rsidP="00760F95">
            <w:pPr>
              <w:jc w:val="center"/>
              <w:rPr>
                <w:lang w:val="lt-LT"/>
              </w:rPr>
            </w:pPr>
            <w:r>
              <w:rPr>
                <w:lang w:val="lt-LT"/>
              </w:rPr>
              <w:t>–</w:t>
            </w:r>
          </w:p>
        </w:tc>
      </w:tr>
    </w:tbl>
    <w:p w:rsidR="00366539" w:rsidRPr="00E84C8B" w:rsidRDefault="00366539" w:rsidP="00366539">
      <w:pPr>
        <w:rPr>
          <w:lang w:val="lt-LT"/>
        </w:rPr>
      </w:pPr>
    </w:p>
    <w:p w:rsidR="00366539" w:rsidRPr="00E84C8B"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t>PASTABA</w:t>
      </w:r>
      <w:r w:rsidRPr="00E84C8B">
        <w:rPr>
          <w:rFonts w:ascii="Times New Roman" w:hAnsi="Times New Roman" w:cs="Times New Roman"/>
          <w:sz w:val="24"/>
          <w:szCs w:val="24"/>
        </w:rPr>
        <w:t>. Mokestis  nustatomas sumuojant mokesčius už kiekvienos</w:t>
      </w:r>
      <w:r>
        <w:rPr>
          <w:rFonts w:ascii="Times New Roman" w:hAnsi="Times New Roman" w:cs="Times New Roman"/>
          <w:sz w:val="24"/>
          <w:szCs w:val="24"/>
        </w:rPr>
        <w:t xml:space="preserve"> </w:t>
      </w:r>
      <w:r w:rsidRPr="00E84C8B">
        <w:rPr>
          <w:rFonts w:ascii="Times New Roman" w:hAnsi="Times New Roman" w:cs="Times New Roman"/>
          <w:sz w:val="24"/>
          <w:szCs w:val="24"/>
        </w:rPr>
        <w:t>ašies (ašių) didžiausiosios leidžiamosios ašies (ašių) apkrovos</w:t>
      </w:r>
      <w:r>
        <w:rPr>
          <w:rFonts w:ascii="Times New Roman" w:hAnsi="Times New Roman" w:cs="Times New Roman"/>
          <w:sz w:val="24"/>
          <w:szCs w:val="24"/>
        </w:rPr>
        <w:t xml:space="preserve"> </w:t>
      </w:r>
      <w:r w:rsidRPr="00E84C8B">
        <w:rPr>
          <w:rFonts w:ascii="Times New Roman" w:hAnsi="Times New Roman" w:cs="Times New Roman"/>
          <w:sz w:val="24"/>
          <w:szCs w:val="24"/>
        </w:rPr>
        <w:t>viršijimą</w:t>
      </w:r>
      <w:r w:rsidRPr="00ED3B16">
        <w:rPr>
          <w:rFonts w:ascii="Times New Roman" w:hAnsi="Times New Roman" w:cs="Times New Roman"/>
          <w:sz w:val="24"/>
          <w:szCs w:val="24"/>
        </w:rPr>
        <w:t>.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rsidR="00366539" w:rsidRPr="00E84C8B"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3</w:t>
      </w:r>
      <w:r w:rsidRPr="00E84C8B">
        <w:rPr>
          <w:rFonts w:ascii="Times New Roman" w:hAnsi="Times New Roman" w:cs="Times New Roman"/>
          <w:sz w:val="24"/>
          <w:szCs w:val="24"/>
        </w:rPr>
        <w:t>. Mokesčio už naudojimąsi keliais važiuojant sunkiasvoriais</w:t>
      </w:r>
      <w:r>
        <w:rPr>
          <w:rFonts w:ascii="Times New Roman" w:hAnsi="Times New Roman" w:cs="Times New Roman"/>
          <w:sz w:val="24"/>
          <w:szCs w:val="24"/>
        </w:rPr>
        <w:t xml:space="preserve"> </w:t>
      </w:r>
      <w:r w:rsidRPr="00E84C8B">
        <w:rPr>
          <w:rFonts w:ascii="Times New Roman" w:hAnsi="Times New Roman" w:cs="Times New Roman"/>
          <w:sz w:val="24"/>
          <w:szCs w:val="24"/>
        </w:rPr>
        <w:t>traktoriais ir savaeigėmis mašinomis ar jų junginiais, kurių</w:t>
      </w:r>
      <w:r>
        <w:rPr>
          <w:rFonts w:ascii="Times New Roman" w:hAnsi="Times New Roman" w:cs="Times New Roman"/>
          <w:sz w:val="24"/>
          <w:szCs w:val="24"/>
        </w:rPr>
        <w:t xml:space="preserve"> </w:t>
      </w:r>
      <w:r w:rsidRPr="00E84C8B">
        <w:rPr>
          <w:rFonts w:ascii="Times New Roman" w:hAnsi="Times New Roman" w:cs="Times New Roman"/>
          <w:sz w:val="24"/>
          <w:szCs w:val="24"/>
        </w:rPr>
        <w:t>ašies (ašių) apkrova su kroviniu ar be jo yra didesnė už</w:t>
      </w:r>
      <w:r>
        <w:rPr>
          <w:rFonts w:ascii="Times New Roman" w:hAnsi="Times New Roman" w:cs="Times New Roman"/>
          <w:sz w:val="24"/>
          <w:szCs w:val="24"/>
        </w:rPr>
        <w:t xml:space="preserve"> </w:t>
      </w:r>
      <w:r w:rsidRPr="00E84C8B">
        <w:rPr>
          <w:rFonts w:ascii="Times New Roman" w:hAnsi="Times New Roman" w:cs="Times New Roman"/>
          <w:sz w:val="24"/>
          <w:szCs w:val="24"/>
        </w:rPr>
        <w:t>didžiausiąją leidžiamąją ašies (ašių) apkrovą, tarifai:</w:t>
      </w:r>
    </w:p>
    <w:p w:rsidR="00366539" w:rsidRDefault="00366539" w:rsidP="00366539">
      <w:pPr>
        <w:jc w:val="right"/>
        <w:rPr>
          <w:lang w:val="lt-LT"/>
        </w:rPr>
      </w:pPr>
      <w:r>
        <w:rPr>
          <w:lang w:val="lt-LT"/>
        </w:rPr>
        <w:lastRenderedPageBreak/>
        <w:t>3 lentelė</w:t>
      </w:r>
    </w:p>
    <w:tbl>
      <w:tblPr>
        <w:tblStyle w:val="Lentelstinklelis"/>
        <w:tblW w:w="9747" w:type="dxa"/>
        <w:tblLook w:val="0000" w:firstRow="0" w:lastRow="0" w:firstColumn="0" w:lastColumn="0" w:noHBand="0" w:noVBand="0"/>
      </w:tblPr>
      <w:tblGrid>
        <w:gridCol w:w="3598"/>
        <w:gridCol w:w="3179"/>
        <w:gridCol w:w="2970"/>
      </w:tblGrid>
      <w:tr w:rsidR="00366539" w:rsidTr="00760F95">
        <w:tc>
          <w:tcPr>
            <w:tcW w:w="3598" w:type="dxa"/>
            <w:vMerge w:val="restart"/>
          </w:tcPr>
          <w:p w:rsidR="00366539" w:rsidRDefault="00366539" w:rsidP="00760F95">
            <w:pPr>
              <w:jc w:val="center"/>
              <w:rPr>
                <w:lang w:val="lt-LT"/>
              </w:rPr>
            </w:pPr>
            <w:r>
              <w:rPr>
                <w:lang w:val="lt-LT"/>
              </w:rPr>
              <w:t>Didžiausioji leidžiamoji ašies (ašių) apkrova viršyta, t</w:t>
            </w:r>
          </w:p>
        </w:tc>
        <w:tc>
          <w:tcPr>
            <w:tcW w:w="6149" w:type="dxa"/>
            <w:gridSpan w:val="2"/>
          </w:tcPr>
          <w:p w:rsidR="00366539" w:rsidRDefault="00366539" w:rsidP="00760F95">
            <w:pPr>
              <w:jc w:val="center"/>
              <w:rPr>
                <w:lang w:val="lt-LT"/>
              </w:rPr>
            </w:pPr>
            <w:r>
              <w:rPr>
                <w:lang w:val="lt-LT"/>
              </w:rPr>
              <w:t xml:space="preserve">Tarifai, </w:t>
            </w:r>
            <w:proofErr w:type="spellStart"/>
            <w:r>
              <w:rPr>
                <w:lang w:val="lt-LT"/>
              </w:rPr>
              <w:t>Eur</w:t>
            </w:r>
            <w:proofErr w:type="spellEnd"/>
          </w:p>
        </w:tc>
      </w:tr>
      <w:tr w:rsidR="00366539" w:rsidTr="00760F95">
        <w:trPr>
          <w:trHeight w:val="630"/>
        </w:trPr>
        <w:tc>
          <w:tcPr>
            <w:tcW w:w="0" w:type="auto"/>
            <w:vMerge/>
          </w:tcPr>
          <w:p w:rsidR="00366539" w:rsidRDefault="00366539" w:rsidP="00760F95">
            <w:pPr>
              <w:rPr>
                <w:lang w:val="lt-LT"/>
              </w:rPr>
            </w:pPr>
          </w:p>
        </w:tc>
        <w:tc>
          <w:tcPr>
            <w:tcW w:w="3179" w:type="dxa"/>
          </w:tcPr>
          <w:p w:rsidR="00366539" w:rsidRDefault="00366539" w:rsidP="00760F95">
            <w:pPr>
              <w:jc w:val="center"/>
              <w:rPr>
                <w:lang w:val="lt-LT"/>
              </w:rPr>
            </w:pPr>
            <w:r>
              <w:rPr>
                <w:lang w:val="lt-LT"/>
              </w:rPr>
              <w:t xml:space="preserve">Vienkartinis tarifas </w:t>
            </w:r>
          </w:p>
          <w:p w:rsidR="00366539" w:rsidRDefault="00366539" w:rsidP="00760F95">
            <w:pPr>
              <w:jc w:val="center"/>
              <w:rPr>
                <w:lang w:val="lt-LT"/>
              </w:rPr>
            </w:pPr>
            <w:r>
              <w:rPr>
                <w:lang w:val="lt-LT"/>
              </w:rPr>
              <w:t>10 kilometrų</w:t>
            </w:r>
          </w:p>
        </w:tc>
        <w:tc>
          <w:tcPr>
            <w:tcW w:w="2970" w:type="dxa"/>
          </w:tcPr>
          <w:p w:rsidR="00366539" w:rsidRDefault="00366539" w:rsidP="00760F95">
            <w:pPr>
              <w:jc w:val="center"/>
              <w:rPr>
                <w:lang w:val="lt-LT"/>
              </w:rPr>
            </w:pPr>
            <w:r>
              <w:rPr>
                <w:lang w:val="lt-LT"/>
              </w:rPr>
              <w:t>Mėnesio tarifas</w:t>
            </w:r>
          </w:p>
        </w:tc>
      </w:tr>
      <w:tr w:rsidR="00366539" w:rsidTr="00760F95">
        <w:trPr>
          <w:trHeight w:val="195"/>
        </w:trPr>
        <w:tc>
          <w:tcPr>
            <w:tcW w:w="3598" w:type="dxa"/>
          </w:tcPr>
          <w:p w:rsidR="00366539" w:rsidRDefault="00366539" w:rsidP="00760F95">
            <w:pPr>
              <w:jc w:val="center"/>
              <w:rPr>
                <w:lang w:val="lt-LT"/>
              </w:rPr>
            </w:pPr>
            <w:r>
              <w:rPr>
                <w:lang w:val="lt-LT"/>
              </w:rPr>
              <w:t>0,6–1</w:t>
            </w:r>
          </w:p>
        </w:tc>
        <w:tc>
          <w:tcPr>
            <w:tcW w:w="3179" w:type="dxa"/>
          </w:tcPr>
          <w:p w:rsidR="00366539" w:rsidRDefault="00366539" w:rsidP="00760F95">
            <w:pPr>
              <w:jc w:val="center"/>
              <w:rPr>
                <w:lang w:val="lt-LT"/>
              </w:rPr>
            </w:pPr>
            <w:r>
              <w:rPr>
                <w:lang w:val="lt-LT"/>
              </w:rPr>
              <w:t>0,23</w:t>
            </w:r>
          </w:p>
        </w:tc>
        <w:tc>
          <w:tcPr>
            <w:tcW w:w="2970" w:type="dxa"/>
          </w:tcPr>
          <w:p w:rsidR="00366539" w:rsidRDefault="00366539" w:rsidP="00760F95">
            <w:pPr>
              <w:jc w:val="center"/>
              <w:rPr>
                <w:lang w:val="lt-LT"/>
              </w:rPr>
            </w:pPr>
            <w:r>
              <w:rPr>
                <w:lang w:val="lt-LT"/>
              </w:rPr>
              <w:t>16</w:t>
            </w:r>
          </w:p>
        </w:tc>
      </w:tr>
      <w:tr w:rsidR="00366539" w:rsidTr="00760F95">
        <w:tc>
          <w:tcPr>
            <w:tcW w:w="3598" w:type="dxa"/>
          </w:tcPr>
          <w:p w:rsidR="00366539" w:rsidRDefault="00366539" w:rsidP="00760F95">
            <w:pPr>
              <w:jc w:val="center"/>
              <w:rPr>
                <w:lang w:val="lt-LT"/>
              </w:rPr>
            </w:pPr>
            <w:r>
              <w:rPr>
                <w:lang w:val="lt-LT"/>
              </w:rPr>
              <w:t>1,1–1,5</w:t>
            </w:r>
          </w:p>
        </w:tc>
        <w:tc>
          <w:tcPr>
            <w:tcW w:w="3179" w:type="dxa"/>
          </w:tcPr>
          <w:p w:rsidR="00366539" w:rsidRDefault="00366539" w:rsidP="00760F95">
            <w:pPr>
              <w:jc w:val="center"/>
              <w:rPr>
                <w:lang w:val="lt-LT"/>
              </w:rPr>
            </w:pPr>
            <w:r>
              <w:rPr>
                <w:lang w:val="lt-LT"/>
              </w:rPr>
              <w:t>0,46</w:t>
            </w:r>
          </w:p>
        </w:tc>
        <w:tc>
          <w:tcPr>
            <w:tcW w:w="2970" w:type="dxa"/>
          </w:tcPr>
          <w:p w:rsidR="00366539" w:rsidRDefault="00366539" w:rsidP="00760F95">
            <w:pPr>
              <w:jc w:val="center"/>
              <w:rPr>
                <w:lang w:val="lt-LT"/>
              </w:rPr>
            </w:pPr>
            <w:r>
              <w:rPr>
                <w:lang w:val="lt-LT"/>
              </w:rPr>
              <w:t>32</w:t>
            </w:r>
          </w:p>
        </w:tc>
      </w:tr>
      <w:tr w:rsidR="00366539" w:rsidTr="00760F95">
        <w:tc>
          <w:tcPr>
            <w:tcW w:w="3598" w:type="dxa"/>
          </w:tcPr>
          <w:p w:rsidR="00366539" w:rsidRDefault="00366539" w:rsidP="00760F95">
            <w:pPr>
              <w:jc w:val="center"/>
              <w:rPr>
                <w:lang w:val="lt-LT"/>
              </w:rPr>
            </w:pPr>
            <w:r>
              <w:rPr>
                <w:lang w:val="lt-LT"/>
              </w:rPr>
              <w:t>1,6–2</w:t>
            </w:r>
          </w:p>
        </w:tc>
        <w:tc>
          <w:tcPr>
            <w:tcW w:w="3179" w:type="dxa"/>
          </w:tcPr>
          <w:p w:rsidR="00366539" w:rsidRDefault="00366539" w:rsidP="00760F95">
            <w:pPr>
              <w:jc w:val="center"/>
              <w:rPr>
                <w:lang w:val="lt-LT"/>
              </w:rPr>
            </w:pPr>
            <w:r>
              <w:rPr>
                <w:lang w:val="lt-LT"/>
              </w:rPr>
              <w:t>0,64</w:t>
            </w:r>
          </w:p>
        </w:tc>
        <w:tc>
          <w:tcPr>
            <w:tcW w:w="2970" w:type="dxa"/>
          </w:tcPr>
          <w:p w:rsidR="00366539" w:rsidRDefault="00366539" w:rsidP="00760F95">
            <w:pPr>
              <w:jc w:val="center"/>
              <w:rPr>
                <w:lang w:val="lt-LT"/>
              </w:rPr>
            </w:pPr>
            <w:r>
              <w:rPr>
                <w:lang w:val="lt-LT"/>
              </w:rPr>
              <w:t>45</w:t>
            </w:r>
          </w:p>
        </w:tc>
      </w:tr>
      <w:tr w:rsidR="00366539" w:rsidTr="00760F95">
        <w:tc>
          <w:tcPr>
            <w:tcW w:w="3598" w:type="dxa"/>
          </w:tcPr>
          <w:p w:rsidR="00366539" w:rsidRDefault="00366539" w:rsidP="00760F95">
            <w:pPr>
              <w:jc w:val="center"/>
              <w:rPr>
                <w:lang w:val="lt-LT"/>
              </w:rPr>
            </w:pPr>
            <w:r>
              <w:rPr>
                <w:lang w:val="lt-LT"/>
              </w:rPr>
              <w:t>2,1–3</w:t>
            </w:r>
          </w:p>
        </w:tc>
        <w:tc>
          <w:tcPr>
            <w:tcW w:w="3179" w:type="dxa"/>
          </w:tcPr>
          <w:p w:rsidR="00366539" w:rsidRDefault="00366539" w:rsidP="00760F95">
            <w:pPr>
              <w:jc w:val="center"/>
              <w:rPr>
                <w:lang w:val="lt-LT"/>
              </w:rPr>
            </w:pPr>
            <w:r>
              <w:rPr>
                <w:lang w:val="lt-LT"/>
              </w:rPr>
              <w:t>1,15</w:t>
            </w:r>
          </w:p>
        </w:tc>
        <w:tc>
          <w:tcPr>
            <w:tcW w:w="2970" w:type="dxa"/>
          </w:tcPr>
          <w:p w:rsidR="00366539" w:rsidRDefault="00366539" w:rsidP="00760F95">
            <w:pPr>
              <w:jc w:val="center"/>
              <w:rPr>
                <w:lang w:val="lt-LT"/>
              </w:rPr>
            </w:pPr>
            <w:r>
              <w:rPr>
                <w:lang w:val="lt-LT"/>
              </w:rPr>
              <w:t>81</w:t>
            </w:r>
          </w:p>
        </w:tc>
      </w:tr>
      <w:tr w:rsidR="00366539" w:rsidTr="00760F95">
        <w:tc>
          <w:tcPr>
            <w:tcW w:w="3598" w:type="dxa"/>
          </w:tcPr>
          <w:p w:rsidR="00366539" w:rsidRDefault="00366539" w:rsidP="00760F95">
            <w:pPr>
              <w:jc w:val="center"/>
              <w:rPr>
                <w:lang w:val="lt-LT"/>
              </w:rPr>
            </w:pPr>
            <w:r>
              <w:rPr>
                <w:lang w:val="lt-LT"/>
              </w:rPr>
              <w:t>3,1–4</w:t>
            </w:r>
          </w:p>
        </w:tc>
        <w:tc>
          <w:tcPr>
            <w:tcW w:w="3179" w:type="dxa"/>
          </w:tcPr>
          <w:p w:rsidR="00366539" w:rsidRDefault="00366539" w:rsidP="00760F95">
            <w:pPr>
              <w:jc w:val="center"/>
              <w:rPr>
                <w:lang w:val="lt-LT"/>
              </w:rPr>
            </w:pPr>
            <w:r>
              <w:rPr>
                <w:lang w:val="lt-LT"/>
              </w:rPr>
              <w:t>1,85</w:t>
            </w:r>
          </w:p>
        </w:tc>
        <w:tc>
          <w:tcPr>
            <w:tcW w:w="2970" w:type="dxa"/>
          </w:tcPr>
          <w:p w:rsidR="00366539" w:rsidRDefault="00366539" w:rsidP="00760F95">
            <w:pPr>
              <w:jc w:val="center"/>
              <w:rPr>
                <w:lang w:val="lt-LT"/>
              </w:rPr>
            </w:pPr>
            <w:r>
              <w:rPr>
                <w:lang w:val="lt-LT"/>
              </w:rPr>
              <w:t>129</w:t>
            </w:r>
          </w:p>
        </w:tc>
      </w:tr>
      <w:tr w:rsidR="00366539" w:rsidTr="00760F95">
        <w:tc>
          <w:tcPr>
            <w:tcW w:w="3598" w:type="dxa"/>
          </w:tcPr>
          <w:p w:rsidR="00366539" w:rsidRDefault="00366539" w:rsidP="00760F95">
            <w:pPr>
              <w:jc w:val="center"/>
              <w:rPr>
                <w:lang w:val="lt-LT"/>
              </w:rPr>
            </w:pPr>
            <w:r>
              <w:rPr>
                <w:lang w:val="lt-LT"/>
              </w:rPr>
              <w:t>4,1–5</w:t>
            </w:r>
          </w:p>
        </w:tc>
        <w:tc>
          <w:tcPr>
            <w:tcW w:w="3179" w:type="dxa"/>
          </w:tcPr>
          <w:p w:rsidR="00366539" w:rsidRDefault="00366539" w:rsidP="00760F95">
            <w:pPr>
              <w:jc w:val="center"/>
              <w:rPr>
                <w:lang w:val="lt-LT"/>
              </w:rPr>
            </w:pPr>
            <w:r>
              <w:rPr>
                <w:lang w:val="lt-LT"/>
              </w:rPr>
              <w:t>2,54</w:t>
            </w:r>
          </w:p>
        </w:tc>
        <w:tc>
          <w:tcPr>
            <w:tcW w:w="2970" w:type="dxa"/>
          </w:tcPr>
          <w:p w:rsidR="00366539" w:rsidRDefault="00366539" w:rsidP="00760F95">
            <w:pPr>
              <w:jc w:val="center"/>
              <w:rPr>
                <w:lang w:val="lt-LT"/>
              </w:rPr>
            </w:pPr>
            <w:r>
              <w:rPr>
                <w:lang w:val="lt-LT"/>
              </w:rPr>
              <w:t>–</w:t>
            </w:r>
          </w:p>
        </w:tc>
      </w:tr>
      <w:tr w:rsidR="00366539" w:rsidTr="00760F95">
        <w:tc>
          <w:tcPr>
            <w:tcW w:w="3598" w:type="dxa"/>
          </w:tcPr>
          <w:p w:rsidR="00366539" w:rsidRDefault="00366539" w:rsidP="00760F95">
            <w:pPr>
              <w:jc w:val="center"/>
              <w:rPr>
                <w:lang w:val="lt-LT"/>
              </w:rPr>
            </w:pPr>
            <w:r>
              <w:rPr>
                <w:lang w:val="lt-LT"/>
              </w:rPr>
              <w:t>5,1–6</w:t>
            </w:r>
          </w:p>
        </w:tc>
        <w:tc>
          <w:tcPr>
            <w:tcW w:w="3179" w:type="dxa"/>
          </w:tcPr>
          <w:p w:rsidR="00366539" w:rsidRDefault="00366539" w:rsidP="00760F95">
            <w:pPr>
              <w:jc w:val="center"/>
              <w:rPr>
                <w:lang w:val="lt-LT"/>
              </w:rPr>
            </w:pPr>
            <w:r>
              <w:rPr>
                <w:lang w:val="lt-LT"/>
              </w:rPr>
              <w:t>3,24</w:t>
            </w:r>
          </w:p>
        </w:tc>
        <w:tc>
          <w:tcPr>
            <w:tcW w:w="2970" w:type="dxa"/>
          </w:tcPr>
          <w:p w:rsidR="00366539" w:rsidRDefault="00366539" w:rsidP="00760F95">
            <w:pPr>
              <w:jc w:val="center"/>
              <w:rPr>
                <w:lang w:val="lt-LT"/>
              </w:rPr>
            </w:pPr>
            <w:r>
              <w:rPr>
                <w:lang w:val="lt-LT"/>
              </w:rPr>
              <w:t>–</w:t>
            </w:r>
          </w:p>
        </w:tc>
      </w:tr>
      <w:tr w:rsidR="00366539" w:rsidTr="00760F95">
        <w:tc>
          <w:tcPr>
            <w:tcW w:w="3598" w:type="dxa"/>
          </w:tcPr>
          <w:p w:rsidR="00366539" w:rsidRDefault="00366539" w:rsidP="00760F95">
            <w:pPr>
              <w:jc w:val="center"/>
              <w:rPr>
                <w:lang w:val="lt-LT"/>
              </w:rPr>
            </w:pPr>
            <w:r>
              <w:rPr>
                <w:lang w:val="lt-LT"/>
              </w:rPr>
              <w:t>6,1–7</w:t>
            </w:r>
          </w:p>
        </w:tc>
        <w:tc>
          <w:tcPr>
            <w:tcW w:w="3179" w:type="dxa"/>
          </w:tcPr>
          <w:p w:rsidR="00366539" w:rsidRDefault="00366539" w:rsidP="00760F95">
            <w:pPr>
              <w:jc w:val="center"/>
              <w:rPr>
                <w:lang w:val="lt-LT"/>
              </w:rPr>
            </w:pPr>
            <w:r>
              <w:rPr>
                <w:lang w:val="lt-LT"/>
              </w:rPr>
              <w:t>3,93</w:t>
            </w:r>
          </w:p>
        </w:tc>
        <w:tc>
          <w:tcPr>
            <w:tcW w:w="2970" w:type="dxa"/>
          </w:tcPr>
          <w:p w:rsidR="00366539" w:rsidRDefault="00366539" w:rsidP="00760F95">
            <w:pPr>
              <w:jc w:val="center"/>
              <w:rPr>
                <w:lang w:val="lt-LT"/>
              </w:rPr>
            </w:pPr>
            <w:r>
              <w:rPr>
                <w:lang w:val="lt-LT"/>
              </w:rPr>
              <w:t>–</w:t>
            </w:r>
          </w:p>
        </w:tc>
      </w:tr>
      <w:tr w:rsidR="00366539" w:rsidTr="00760F95">
        <w:tc>
          <w:tcPr>
            <w:tcW w:w="3598" w:type="dxa"/>
          </w:tcPr>
          <w:p w:rsidR="00366539" w:rsidRDefault="00366539" w:rsidP="00760F95">
            <w:pPr>
              <w:jc w:val="center"/>
              <w:rPr>
                <w:lang w:val="lt-LT"/>
              </w:rPr>
            </w:pPr>
            <w:r>
              <w:rPr>
                <w:lang w:val="lt-LT"/>
              </w:rPr>
              <w:t>7,1–8 įskaitytinai</w:t>
            </w:r>
          </w:p>
        </w:tc>
        <w:tc>
          <w:tcPr>
            <w:tcW w:w="3179" w:type="dxa"/>
          </w:tcPr>
          <w:p w:rsidR="00366539" w:rsidRDefault="00366539" w:rsidP="00760F95">
            <w:pPr>
              <w:jc w:val="center"/>
              <w:rPr>
                <w:lang w:val="lt-LT"/>
              </w:rPr>
            </w:pPr>
            <w:r>
              <w:rPr>
                <w:lang w:val="lt-LT"/>
              </w:rPr>
              <w:t>4,63</w:t>
            </w:r>
          </w:p>
        </w:tc>
        <w:tc>
          <w:tcPr>
            <w:tcW w:w="2970" w:type="dxa"/>
          </w:tcPr>
          <w:p w:rsidR="00366539" w:rsidRDefault="00366539" w:rsidP="00760F95">
            <w:pPr>
              <w:jc w:val="center"/>
              <w:rPr>
                <w:lang w:val="lt-LT"/>
              </w:rPr>
            </w:pPr>
            <w:r>
              <w:rPr>
                <w:lang w:val="lt-LT"/>
              </w:rPr>
              <w:t>–</w:t>
            </w:r>
          </w:p>
        </w:tc>
      </w:tr>
    </w:tbl>
    <w:p w:rsidR="00366539" w:rsidRDefault="00366539" w:rsidP="00366539">
      <w:pPr>
        <w:rPr>
          <w:lang w:val="lt-LT"/>
        </w:rPr>
      </w:pPr>
    </w:p>
    <w:p w:rsidR="00366539" w:rsidRPr="00E84C8B"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t>PASTABA</w:t>
      </w:r>
      <w:r w:rsidRPr="00E84C8B">
        <w:rPr>
          <w:rFonts w:ascii="Times New Roman" w:hAnsi="Times New Roman" w:cs="Times New Roman"/>
          <w:sz w:val="24"/>
          <w:szCs w:val="24"/>
        </w:rPr>
        <w:t>. Mokestis nustatomas sumuojant mokesčius už kiekvienos</w:t>
      </w:r>
      <w:r>
        <w:rPr>
          <w:rFonts w:ascii="Times New Roman" w:hAnsi="Times New Roman" w:cs="Times New Roman"/>
          <w:sz w:val="24"/>
          <w:szCs w:val="24"/>
        </w:rPr>
        <w:t xml:space="preserve"> </w:t>
      </w:r>
      <w:r w:rsidRPr="00E84C8B">
        <w:rPr>
          <w:rFonts w:ascii="Times New Roman" w:hAnsi="Times New Roman" w:cs="Times New Roman"/>
          <w:sz w:val="24"/>
          <w:szCs w:val="24"/>
        </w:rPr>
        <w:t xml:space="preserve">ašies didžiausiosios leidžiamosios ašies </w:t>
      </w:r>
      <w:r>
        <w:rPr>
          <w:rFonts w:ascii="Times New Roman" w:hAnsi="Times New Roman" w:cs="Times New Roman"/>
          <w:sz w:val="24"/>
          <w:szCs w:val="24"/>
        </w:rPr>
        <w:t xml:space="preserve">(ašių) </w:t>
      </w:r>
      <w:r w:rsidRPr="00E84C8B">
        <w:rPr>
          <w:rFonts w:ascii="Times New Roman" w:hAnsi="Times New Roman" w:cs="Times New Roman"/>
          <w:sz w:val="24"/>
          <w:szCs w:val="24"/>
        </w:rPr>
        <w:t>apkrovos</w:t>
      </w:r>
      <w:r>
        <w:rPr>
          <w:rFonts w:ascii="Times New Roman" w:hAnsi="Times New Roman" w:cs="Times New Roman"/>
          <w:sz w:val="24"/>
          <w:szCs w:val="24"/>
        </w:rPr>
        <w:t xml:space="preserve"> </w:t>
      </w:r>
      <w:r w:rsidRPr="00E84C8B">
        <w:rPr>
          <w:rFonts w:ascii="Times New Roman" w:hAnsi="Times New Roman" w:cs="Times New Roman"/>
          <w:sz w:val="24"/>
          <w:szCs w:val="24"/>
        </w:rPr>
        <w:t>viršijimą.</w:t>
      </w:r>
    </w:p>
    <w:p w:rsidR="00366539" w:rsidRPr="00E84C8B"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sidRPr="00E84C8B">
        <w:rPr>
          <w:rFonts w:ascii="Times New Roman" w:hAnsi="Times New Roman" w:cs="Times New Roman"/>
          <w:sz w:val="24"/>
          <w:szCs w:val="24"/>
        </w:rPr>
        <w:t>Kai viršijama didžiausioji leidžiamoji ašies (ašių)</w:t>
      </w:r>
      <w:r>
        <w:rPr>
          <w:rFonts w:ascii="Times New Roman" w:hAnsi="Times New Roman" w:cs="Times New Roman"/>
          <w:sz w:val="24"/>
          <w:szCs w:val="24"/>
        </w:rPr>
        <w:t xml:space="preserve"> </w:t>
      </w:r>
      <w:r w:rsidRPr="00E84C8B">
        <w:rPr>
          <w:rFonts w:ascii="Times New Roman" w:hAnsi="Times New Roman" w:cs="Times New Roman"/>
          <w:sz w:val="24"/>
          <w:szCs w:val="24"/>
        </w:rPr>
        <w:t>apkrova ir masė, nus</w:t>
      </w:r>
      <w:r>
        <w:rPr>
          <w:rFonts w:ascii="Times New Roman" w:hAnsi="Times New Roman" w:cs="Times New Roman"/>
          <w:sz w:val="24"/>
          <w:szCs w:val="24"/>
        </w:rPr>
        <w:t>tatomas tas mokesčio dydis, k</w:t>
      </w:r>
      <w:r w:rsidRPr="00E84C8B">
        <w:rPr>
          <w:rFonts w:ascii="Times New Roman" w:hAnsi="Times New Roman" w:cs="Times New Roman"/>
          <w:sz w:val="24"/>
          <w:szCs w:val="24"/>
        </w:rPr>
        <w:t>uris yra</w:t>
      </w:r>
      <w:r>
        <w:rPr>
          <w:rFonts w:ascii="Times New Roman" w:hAnsi="Times New Roman" w:cs="Times New Roman"/>
          <w:sz w:val="24"/>
          <w:szCs w:val="24"/>
        </w:rPr>
        <w:t xml:space="preserve"> </w:t>
      </w:r>
      <w:r w:rsidRPr="00E84C8B">
        <w:rPr>
          <w:rFonts w:ascii="Times New Roman" w:hAnsi="Times New Roman" w:cs="Times New Roman"/>
          <w:sz w:val="24"/>
          <w:szCs w:val="24"/>
        </w:rPr>
        <w:t>didesnis.</w:t>
      </w:r>
    </w:p>
    <w:p w:rsidR="00366539" w:rsidRPr="00F02884"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4</w:t>
      </w:r>
      <w:r w:rsidRPr="00F02884">
        <w:rPr>
          <w:rFonts w:ascii="Times New Roman" w:hAnsi="Times New Roman" w:cs="Times New Roman"/>
          <w:sz w:val="24"/>
          <w:szCs w:val="24"/>
        </w:rPr>
        <w:t>. Mokesčio už naudojimąsi keliais važiuojant sunkiasvoriais</w:t>
      </w:r>
      <w:r>
        <w:rPr>
          <w:rFonts w:ascii="Times New Roman" w:hAnsi="Times New Roman" w:cs="Times New Roman"/>
          <w:sz w:val="24"/>
          <w:szCs w:val="24"/>
        </w:rPr>
        <w:t xml:space="preserve"> </w:t>
      </w:r>
      <w:r w:rsidRPr="00F02884">
        <w:rPr>
          <w:rFonts w:ascii="Times New Roman" w:hAnsi="Times New Roman" w:cs="Times New Roman"/>
          <w:sz w:val="24"/>
          <w:szCs w:val="24"/>
        </w:rPr>
        <w:t>traktoriais ir savaeigėmis mašinomis ar jų junginiais, kurių masė</w:t>
      </w:r>
      <w:r>
        <w:rPr>
          <w:rFonts w:ascii="Times New Roman" w:hAnsi="Times New Roman" w:cs="Times New Roman"/>
          <w:sz w:val="24"/>
          <w:szCs w:val="24"/>
        </w:rPr>
        <w:t xml:space="preserve"> </w:t>
      </w:r>
      <w:r w:rsidRPr="00F02884">
        <w:rPr>
          <w:rFonts w:ascii="Times New Roman" w:hAnsi="Times New Roman" w:cs="Times New Roman"/>
          <w:sz w:val="24"/>
          <w:szCs w:val="24"/>
        </w:rPr>
        <w:t xml:space="preserve">su kroviniu </w:t>
      </w:r>
      <w:r>
        <w:rPr>
          <w:rFonts w:ascii="Times New Roman" w:hAnsi="Times New Roman" w:cs="Times New Roman"/>
          <w:sz w:val="24"/>
          <w:szCs w:val="24"/>
        </w:rPr>
        <w:t xml:space="preserve">ar be jo yra didesnė už didžiausiąją </w:t>
      </w:r>
      <w:r w:rsidRPr="00F02884">
        <w:rPr>
          <w:rFonts w:ascii="Times New Roman" w:hAnsi="Times New Roman" w:cs="Times New Roman"/>
          <w:sz w:val="24"/>
          <w:szCs w:val="24"/>
        </w:rPr>
        <w:t>leidžiamąją</w:t>
      </w:r>
      <w:r>
        <w:rPr>
          <w:rFonts w:ascii="Times New Roman" w:hAnsi="Times New Roman" w:cs="Times New Roman"/>
          <w:sz w:val="24"/>
          <w:szCs w:val="24"/>
        </w:rPr>
        <w:t xml:space="preserve"> </w:t>
      </w:r>
      <w:r w:rsidRPr="00F02884">
        <w:rPr>
          <w:rFonts w:ascii="Times New Roman" w:hAnsi="Times New Roman" w:cs="Times New Roman"/>
          <w:sz w:val="24"/>
          <w:szCs w:val="24"/>
        </w:rPr>
        <w:t>masę, tarifai:</w:t>
      </w:r>
    </w:p>
    <w:p w:rsidR="00366539" w:rsidRDefault="00366539" w:rsidP="00366539">
      <w:pPr>
        <w:rPr>
          <w:lang w:val="lt-LT"/>
        </w:rPr>
      </w:pPr>
    </w:p>
    <w:p w:rsidR="00366539" w:rsidRDefault="00366539" w:rsidP="00366539">
      <w:pPr>
        <w:jc w:val="right"/>
        <w:rPr>
          <w:lang w:val="lt-LT"/>
        </w:rPr>
      </w:pPr>
      <w:r>
        <w:rPr>
          <w:lang w:val="lt-LT"/>
        </w:rPr>
        <w:t>4 lentelė</w:t>
      </w:r>
    </w:p>
    <w:tbl>
      <w:tblPr>
        <w:tblStyle w:val="Lentelstinklelis"/>
        <w:tblW w:w="9747" w:type="dxa"/>
        <w:tblLook w:val="0000" w:firstRow="0" w:lastRow="0" w:firstColumn="0" w:lastColumn="0" w:noHBand="0" w:noVBand="0"/>
      </w:tblPr>
      <w:tblGrid>
        <w:gridCol w:w="2880"/>
        <w:gridCol w:w="6867"/>
      </w:tblGrid>
      <w:tr w:rsidR="00366539" w:rsidRPr="00366539" w:rsidTr="00760F95">
        <w:tc>
          <w:tcPr>
            <w:tcW w:w="2880" w:type="dxa"/>
          </w:tcPr>
          <w:p w:rsidR="00366539" w:rsidRDefault="00366539" w:rsidP="00760F95">
            <w:pPr>
              <w:jc w:val="center"/>
              <w:rPr>
                <w:lang w:val="lt-LT"/>
              </w:rPr>
            </w:pPr>
            <w:r>
              <w:rPr>
                <w:lang w:val="lt-LT"/>
              </w:rPr>
              <w:t>Didžiausioji leidžiamoji masė viršyta, t</w:t>
            </w:r>
          </w:p>
        </w:tc>
        <w:tc>
          <w:tcPr>
            <w:tcW w:w="6867" w:type="dxa"/>
          </w:tcPr>
          <w:p w:rsidR="00366539" w:rsidRDefault="00366539" w:rsidP="00760F95">
            <w:pPr>
              <w:jc w:val="center"/>
              <w:rPr>
                <w:lang w:val="lt-LT"/>
              </w:rPr>
            </w:pPr>
            <w:r>
              <w:rPr>
                <w:lang w:val="lt-LT"/>
              </w:rPr>
              <w:t>Vienkartiniai tarifai už kiekvieną viršytą toną eurais už 10 kilometrų</w:t>
            </w:r>
          </w:p>
        </w:tc>
      </w:tr>
      <w:tr w:rsidR="00366539" w:rsidTr="00760F95">
        <w:tc>
          <w:tcPr>
            <w:tcW w:w="2880" w:type="dxa"/>
          </w:tcPr>
          <w:p w:rsidR="00366539" w:rsidRDefault="00366539" w:rsidP="00760F95">
            <w:pPr>
              <w:jc w:val="center"/>
              <w:rPr>
                <w:lang w:val="lt-LT"/>
              </w:rPr>
            </w:pPr>
            <w:r>
              <w:rPr>
                <w:lang w:val="lt-LT"/>
              </w:rPr>
              <w:t>1,0-20</w:t>
            </w:r>
          </w:p>
        </w:tc>
        <w:tc>
          <w:tcPr>
            <w:tcW w:w="6867" w:type="dxa"/>
          </w:tcPr>
          <w:p w:rsidR="00366539" w:rsidRDefault="00366539" w:rsidP="00760F95">
            <w:pPr>
              <w:jc w:val="center"/>
              <w:rPr>
                <w:lang w:val="lt-LT"/>
              </w:rPr>
            </w:pPr>
            <w:r>
              <w:rPr>
                <w:lang w:val="lt-LT"/>
              </w:rPr>
              <w:t>0,14</w:t>
            </w:r>
          </w:p>
        </w:tc>
      </w:tr>
      <w:tr w:rsidR="00366539" w:rsidTr="00760F95">
        <w:tc>
          <w:tcPr>
            <w:tcW w:w="2880" w:type="dxa"/>
          </w:tcPr>
          <w:p w:rsidR="00366539" w:rsidRDefault="00366539" w:rsidP="00760F95">
            <w:pPr>
              <w:jc w:val="center"/>
              <w:rPr>
                <w:lang w:val="lt-LT"/>
              </w:rPr>
            </w:pPr>
            <w:r>
              <w:rPr>
                <w:lang w:val="lt-LT"/>
              </w:rPr>
              <w:t>21-40</w:t>
            </w:r>
          </w:p>
        </w:tc>
        <w:tc>
          <w:tcPr>
            <w:tcW w:w="6867" w:type="dxa"/>
          </w:tcPr>
          <w:p w:rsidR="00366539" w:rsidRDefault="00366539" w:rsidP="00760F95">
            <w:pPr>
              <w:jc w:val="center"/>
              <w:rPr>
                <w:lang w:val="lt-LT"/>
              </w:rPr>
            </w:pPr>
            <w:r>
              <w:rPr>
                <w:lang w:val="lt-LT"/>
              </w:rPr>
              <w:t>0,19</w:t>
            </w:r>
          </w:p>
        </w:tc>
      </w:tr>
      <w:tr w:rsidR="00366539" w:rsidTr="00760F95">
        <w:tc>
          <w:tcPr>
            <w:tcW w:w="2880" w:type="dxa"/>
          </w:tcPr>
          <w:p w:rsidR="00366539" w:rsidRDefault="00366539" w:rsidP="00760F95">
            <w:pPr>
              <w:jc w:val="center"/>
              <w:rPr>
                <w:lang w:val="lt-LT"/>
              </w:rPr>
            </w:pPr>
            <w:r>
              <w:rPr>
                <w:lang w:val="en-US"/>
              </w:rPr>
              <w:t>&gt;</w:t>
            </w:r>
            <w:r>
              <w:rPr>
                <w:lang w:val="lt-LT"/>
              </w:rPr>
              <w:t xml:space="preserve"> 40</w:t>
            </w:r>
          </w:p>
        </w:tc>
        <w:tc>
          <w:tcPr>
            <w:tcW w:w="6867" w:type="dxa"/>
          </w:tcPr>
          <w:p w:rsidR="00366539" w:rsidRDefault="00366539" w:rsidP="00760F95">
            <w:pPr>
              <w:jc w:val="center"/>
              <w:rPr>
                <w:lang w:val="lt-LT"/>
              </w:rPr>
            </w:pPr>
            <w:r>
              <w:rPr>
                <w:lang w:val="lt-LT"/>
              </w:rPr>
              <w:t>0,28</w:t>
            </w:r>
          </w:p>
        </w:tc>
      </w:tr>
    </w:tbl>
    <w:p w:rsidR="00366539" w:rsidRDefault="00366539" w:rsidP="00366539">
      <w:pPr>
        <w:rPr>
          <w:lang w:val="lt-LT"/>
        </w:rPr>
      </w:pPr>
    </w:p>
    <w:p w:rsidR="00366539"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t>PASTABA</w:t>
      </w:r>
      <w:r w:rsidRPr="00F02884">
        <w:rPr>
          <w:rFonts w:ascii="Times New Roman" w:hAnsi="Times New Roman" w:cs="Times New Roman"/>
          <w:sz w:val="24"/>
          <w:szCs w:val="24"/>
        </w:rPr>
        <w:t xml:space="preserve">. Kai </w:t>
      </w:r>
      <w:r>
        <w:rPr>
          <w:rFonts w:ascii="Times New Roman" w:hAnsi="Times New Roman" w:cs="Times New Roman"/>
          <w:sz w:val="24"/>
          <w:szCs w:val="24"/>
        </w:rPr>
        <w:t>v</w:t>
      </w:r>
      <w:r w:rsidRPr="00F02884">
        <w:rPr>
          <w:rFonts w:ascii="Times New Roman" w:hAnsi="Times New Roman" w:cs="Times New Roman"/>
          <w:sz w:val="24"/>
          <w:szCs w:val="24"/>
        </w:rPr>
        <w:t>iršijama didžiausioji leidžiamoji ašies (ašių)</w:t>
      </w:r>
      <w:r>
        <w:rPr>
          <w:rFonts w:ascii="Times New Roman" w:hAnsi="Times New Roman" w:cs="Times New Roman"/>
          <w:sz w:val="24"/>
          <w:szCs w:val="24"/>
        </w:rPr>
        <w:t xml:space="preserve"> </w:t>
      </w:r>
      <w:r w:rsidRPr="00F02884">
        <w:rPr>
          <w:rFonts w:ascii="Times New Roman" w:hAnsi="Times New Roman" w:cs="Times New Roman"/>
          <w:sz w:val="24"/>
          <w:szCs w:val="24"/>
        </w:rPr>
        <w:t>apkrova ir masė, nustatomas tas mokesčio dydis, kuris yra</w:t>
      </w:r>
      <w:r>
        <w:rPr>
          <w:rFonts w:ascii="Times New Roman" w:hAnsi="Times New Roman" w:cs="Times New Roman"/>
          <w:sz w:val="24"/>
          <w:szCs w:val="24"/>
        </w:rPr>
        <w:t xml:space="preserve"> </w:t>
      </w:r>
      <w:r w:rsidRPr="00F02884">
        <w:rPr>
          <w:rFonts w:ascii="Times New Roman" w:hAnsi="Times New Roman" w:cs="Times New Roman"/>
          <w:sz w:val="24"/>
          <w:szCs w:val="24"/>
        </w:rPr>
        <w:t>didesnis.</w:t>
      </w:r>
    </w:p>
    <w:p w:rsidR="00366539" w:rsidRPr="00A23829" w:rsidRDefault="00366539" w:rsidP="0036653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5</w:t>
      </w:r>
      <w:r w:rsidRPr="001F474C">
        <w:rPr>
          <w:rFonts w:ascii="Times New Roman" w:hAnsi="Times New Roman" w:cs="Times New Roman"/>
          <w:sz w:val="24"/>
          <w:szCs w:val="24"/>
        </w:rPr>
        <w:t xml:space="preserve">. Mokesčio už naudojimąsi keliais važiuojant sunkiasvorėmis motorinėmis transporto priemonėmis ar jų junginiais, kurių </w:t>
      </w:r>
      <w:r w:rsidRPr="001F474C">
        <w:rPr>
          <w:rFonts w:ascii="Times New Roman" w:hAnsi="Times New Roman" w:cs="Times New Roman"/>
          <w:color w:val="000000"/>
          <w:sz w:val="24"/>
          <w:szCs w:val="24"/>
        </w:rPr>
        <w:t>masė su kroviniu ar be jo yra didesnė už didžiausiąją leidžiamą naudojantis keliais transporto priemonės ar jų junginių masę ir yra didesnė kaip 40 t, tarifai:</w:t>
      </w:r>
    </w:p>
    <w:p w:rsidR="00366539" w:rsidRDefault="00366539" w:rsidP="00366539">
      <w:pPr>
        <w:jc w:val="right"/>
        <w:rPr>
          <w:lang w:val="lt-LT"/>
        </w:rPr>
      </w:pPr>
    </w:p>
    <w:p w:rsidR="00366539" w:rsidRPr="001F474C" w:rsidRDefault="00366539" w:rsidP="00366539">
      <w:pPr>
        <w:jc w:val="right"/>
        <w:rPr>
          <w:lang w:val="lt-LT"/>
        </w:rPr>
      </w:pPr>
      <w:r w:rsidRPr="001F474C">
        <w:rPr>
          <w:lang w:val="lt-LT"/>
        </w:rPr>
        <w:t>5 lentelė</w:t>
      </w:r>
    </w:p>
    <w:tbl>
      <w:tblPr>
        <w:tblStyle w:val="Lentelstinklelis"/>
        <w:tblW w:w="9747" w:type="dxa"/>
        <w:tblLook w:val="0000" w:firstRow="0" w:lastRow="0" w:firstColumn="0" w:lastColumn="0" w:noHBand="0" w:noVBand="0"/>
      </w:tblPr>
      <w:tblGrid>
        <w:gridCol w:w="2329"/>
        <w:gridCol w:w="2764"/>
        <w:gridCol w:w="2879"/>
        <w:gridCol w:w="1775"/>
      </w:tblGrid>
      <w:tr w:rsidR="00366539" w:rsidRPr="001F474C" w:rsidTr="00760F95">
        <w:trPr>
          <w:trHeight w:val="667"/>
        </w:trPr>
        <w:tc>
          <w:tcPr>
            <w:tcW w:w="2329" w:type="dxa"/>
          </w:tcPr>
          <w:p w:rsidR="00366539" w:rsidRPr="001F474C" w:rsidRDefault="00366539" w:rsidP="00760F95">
            <w:pPr>
              <w:jc w:val="center"/>
              <w:rPr>
                <w:lang w:val="lt-LT"/>
              </w:rPr>
            </w:pPr>
            <w:r w:rsidRPr="001F474C">
              <w:rPr>
                <w:lang w:val="lt-LT"/>
              </w:rPr>
              <w:t>Didžiausioji leidžiamoji masė viršyta, t</w:t>
            </w:r>
          </w:p>
        </w:tc>
        <w:tc>
          <w:tcPr>
            <w:tcW w:w="2764" w:type="dxa"/>
          </w:tcPr>
          <w:p w:rsidR="00366539" w:rsidRPr="001F474C" w:rsidRDefault="00366539" w:rsidP="00760F95">
            <w:pPr>
              <w:jc w:val="center"/>
              <w:rPr>
                <w:lang w:val="lt-LT"/>
              </w:rPr>
            </w:pPr>
            <w:r w:rsidRPr="001F474C">
              <w:rPr>
                <w:lang w:val="lt-LT"/>
              </w:rPr>
              <w:t>Vienkartinis tarifas už kiekvieną viršytą toną, eurais už 10 km</w:t>
            </w:r>
          </w:p>
        </w:tc>
        <w:tc>
          <w:tcPr>
            <w:tcW w:w="2879" w:type="dxa"/>
          </w:tcPr>
          <w:p w:rsidR="00366539" w:rsidRPr="001F474C" w:rsidRDefault="00366539" w:rsidP="00760F95">
            <w:pPr>
              <w:jc w:val="center"/>
              <w:rPr>
                <w:lang w:val="lt-LT"/>
              </w:rPr>
            </w:pPr>
            <w:r w:rsidRPr="001F474C">
              <w:rPr>
                <w:lang w:val="lt-LT"/>
              </w:rPr>
              <w:t>Mėnesio tarifas *, eurais</w:t>
            </w:r>
          </w:p>
          <w:p w:rsidR="00366539" w:rsidRPr="001F474C" w:rsidRDefault="00366539" w:rsidP="00760F95">
            <w:pPr>
              <w:jc w:val="center"/>
              <w:rPr>
                <w:lang w:val="lt-LT"/>
              </w:rPr>
            </w:pPr>
          </w:p>
        </w:tc>
        <w:tc>
          <w:tcPr>
            <w:tcW w:w="1775" w:type="dxa"/>
          </w:tcPr>
          <w:p w:rsidR="00366539" w:rsidRPr="001F474C" w:rsidRDefault="00366539" w:rsidP="00760F95">
            <w:pPr>
              <w:jc w:val="center"/>
              <w:rPr>
                <w:lang w:val="lt-LT"/>
              </w:rPr>
            </w:pPr>
            <w:r w:rsidRPr="001F474C">
              <w:rPr>
                <w:lang w:val="lt-LT"/>
              </w:rPr>
              <w:t>Metų tarifas *, eurais</w:t>
            </w:r>
          </w:p>
          <w:p w:rsidR="00366539" w:rsidRPr="001F474C" w:rsidRDefault="00366539" w:rsidP="00760F95">
            <w:pPr>
              <w:jc w:val="center"/>
              <w:rPr>
                <w:lang w:val="lt-LT"/>
              </w:rPr>
            </w:pPr>
          </w:p>
        </w:tc>
      </w:tr>
      <w:tr w:rsidR="00366539" w:rsidRPr="001F474C" w:rsidTr="00760F95">
        <w:tc>
          <w:tcPr>
            <w:tcW w:w="2329" w:type="dxa"/>
          </w:tcPr>
          <w:p w:rsidR="00366539" w:rsidRPr="001F474C" w:rsidRDefault="00366539" w:rsidP="00760F95">
            <w:pPr>
              <w:jc w:val="center"/>
              <w:rPr>
                <w:lang w:val="lt-LT"/>
              </w:rPr>
            </w:pPr>
            <w:r w:rsidRPr="001F474C">
              <w:rPr>
                <w:lang w:val="lt-LT"/>
              </w:rPr>
              <w:t xml:space="preserve">1,0–20,0 </w:t>
            </w:r>
          </w:p>
        </w:tc>
        <w:tc>
          <w:tcPr>
            <w:tcW w:w="2764" w:type="dxa"/>
          </w:tcPr>
          <w:p w:rsidR="00366539" w:rsidRPr="001F474C" w:rsidRDefault="00366539" w:rsidP="00760F95">
            <w:pPr>
              <w:jc w:val="center"/>
              <w:rPr>
                <w:lang w:val="lt-LT"/>
              </w:rPr>
            </w:pPr>
            <w:r w:rsidRPr="001F474C">
              <w:rPr>
                <w:lang w:val="lt-LT"/>
              </w:rPr>
              <w:t>1,01</w:t>
            </w:r>
          </w:p>
        </w:tc>
        <w:tc>
          <w:tcPr>
            <w:tcW w:w="2879" w:type="dxa"/>
          </w:tcPr>
          <w:p w:rsidR="00366539" w:rsidRPr="001F474C" w:rsidRDefault="00366539" w:rsidP="00760F95">
            <w:pPr>
              <w:jc w:val="center"/>
              <w:rPr>
                <w:lang w:val="lt-LT"/>
              </w:rPr>
            </w:pPr>
            <w:r w:rsidRPr="001F474C">
              <w:rPr>
                <w:lang w:val="lt-LT"/>
              </w:rPr>
              <w:t>115</w:t>
            </w:r>
          </w:p>
        </w:tc>
        <w:tc>
          <w:tcPr>
            <w:tcW w:w="1775" w:type="dxa"/>
          </w:tcPr>
          <w:p w:rsidR="00366539" w:rsidRPr="001F474C" w:rsidRDefault="00366539" w:rsidP="00760F95">
            <w:pPr>
              <w:jc w:val="center"/>
              <w:rPr>
                <w:lang w:val="lt-LT"/>
              </w:rPr>
            </w:pPr>
            <w:r w:rsidRPr="001F474C">
              <w:rPr>
                <w:lang w:val="lt-LT"/>
              </w:rPr>
              <w:t>920</w:t>
            </w:r>
          </w:p>
        </w:tc>
      </w:tr>
      <w:tr w:rsidR="00366539" w:rsidRPr="001F474C" w:rsidTr="00760F95">
        <w:tc>
          <w:tcPr>
            <w:tcW w:w="2329" w:type="dxa"/>
          </w:tcPr>
          <w:p w:rsidR="00366539" w:rsidRPr="001F474C" w:rsidRDefault="00366539" w:rsidP="00760F95">
            <w:pPr>
              <w:jc w:val="center"/>
              <w:rPr>
                <w:lang w:val="lt-LT"/>
              </w:rPr>
            </w:pPr>
            <w:r w:rsidRPr="001F474C">
              <w:rPr>
                <w:lang w:val="lt-LT"/>
              </w:rPr>
              <w:t xml:space="preserve">21,0–40,0 </w:t>
            </w:r>
          </w:p>
        </w:tc>
        <w:tc>
          <w:tcPr>
            <w:tcW w:w="2764" w:type="dxa"/>
          </w:tcPr>
          <w:p w:rsidR="00366539" w:rsidRPr="001F474C" w:rsidRDefault="00366539" w:rsidP="00760F95">
            <w:pPr>
              <w:jc w:val="center"/>
              <w:rPr>
                <w:lang w:val="lt-LT"/>
              </w:rPr>
            </w:pPr>
            <w:r w:rsidRPr="001F474C">
              <w:rPr>
                <w:lang w:val="lt-LT"/>
              </w:rPr>
              <w:t xml:space="preserve">1,30 </w:t>
            </w:r>
          </w:p>
        </w:tc>
        <w:tc>
          <w:tcPr>
            <w:tcW w:w="2879" w:type="dxa"/>
          </w:tcPr>
          <w:p w:rsidR="00366539" w:rsidRPr="001F474C" w:rsidRDefault="00366539" w:rsidP="00760F95">
            <w:pPr>
              <w:jc w:val="center"/>
              <w:rPr>
                <w:lang w:val="lt-LT"/>
              </w:rPr>
            </w:pPr>
            <w:r w:rsidRPr="001F474C">
              <w:rPr>
                <w:lang w:val="lt-LT"/>
              </w:rPr>
              <w:t>-</w:t>
            </w:r>
          </w:p>
        </w:tc>
        <w:tc>
          <w:tcPr>
            <w:tcW w:w="1775" w:type="dxa"/>
          </w:tcPr>
          <w:p w:rsidR="00366539" w:rsidRPr="001F474C" w:rsidRDefault="00366539" w:rsidP="00760F95">
            <w:pPr>
              <w:jc w:val="center"/>
              <w:rPr>
                <w:lang w:val="lt-LT"/>
              </w:rPr>
            </w:pPr>
            <w:r w:rsidRPr="001F474C">
              <w:rPr>
                <w:lang w:val="lt-LT"/>
              </w:rPr>
              <w:t>-</w:t>
            </w:r>
          </w:p>
        </w:tc>
      </w:tr>
      <w:tr w:rsidR="00366539" w:rsidRPr="001F474C" w:rsidTr="00760F95">
        <w:tc>
          <w:tcPr>
            <w:tcW w:w="2329" w:type="dxa"/>
          </w:tcPr>
          <w:p w:rsidR="00366539" w:rsidRPr="001F474C" w:rsidRDefault="00366539" w:rsidP="00760F95">
            <w:pPr>
              <w:jc w:val="center"/>
              <w:rPr>
                <w:lang w:val="lt-LT"/>
              </w:rPr>
            </w:pPr>
            <w:r w:rsidRPr="001F474C">
              <w:rPr>
                <w:lang w:val="lt-LT"/>
              </w:rPr>
              <w:t>&gt; 40</w:t>
            </w:r>
          </w:p>
        </w:tc>
        <w:tc>
          <w:tcPr>
            <w:tcW w:w="2764" w:type="dxa"/>
          </w:tcPr>
          <w:p w:rsidR="00366539" w:rsidRPr="001F474C" w:rsidRDefault="00366539" w:rsidP="00760F95">
            <w:pPr>
              <w:jc w:val="center"/>
              <w:rPr>
                <w:lang w:val="lt-LT"/>
              </w:rPr>
            </w:pPr>
            <w:r w:rsidRPr="001F474C">
              <w:rPr>
                <w:lang w:val="lt-LT"/>
              </w:rPr>
              <w:t>1,59</w:t>
            </w:r>
          </w:p>
        </w:tc>
        <w:tc>
          <w:tcPr>
            <w:tcW w:w="2879" w:type="dxa"/>
          </w:tcPr>
          <w:p w:rsidR="00366539" w:rsidRPr="001F474C" w:rsidRDefault="00366539" w:rsidP="00760F95">
            <w:pPr>
              <w:jc w:val="center"/>
              <w:rPr>
                <w:lang w:val="lt-LT"/>
              </w:rPr>
            </w:pPr>
            <w:r w:rsidRPr="001F474C">
              <w:rPr>
                <w:lang w:val="lt-LT"/>
              </w:rPr>
              <w:t>-</w:t>
            </w:r>
          </w:p>
        </w:tc>
        <w:tc>
          <w:tcPr>
            <w:tcW w:w="1775" w:type="dxa"/>
          </w:tcPr>
          <w:p w:rsidR="00366539" w:rsidRPr="001F474C" w:rsidRDefault="00366539" w:rsidP="00760F95">
            <w:pPr>
              <w:jc w:val="center"/>
              <w:rPr>
                <w:lang w:val="lt-LT"/>
              </w:rPr>
            </w:pPr>
            <w:r w:rsidRPr="001F474C">
              <w:rPr>
                <w:lang w:val="lt-LT"/>
              </w:rPr>
              <w:t>-</w:t>
            </w:r>
          </w:p>
        </w:tc>
      </w:tr>
    </w:tbl>
    <w:p w:rsidR="00881059" w:rsidRDefault="00366539" w:rsidP="00366539">
      <w:pPr>
        <w:jc w:val="both"/>
        <w:rPr>
          <w:color w:val="000000"/>
          <w:lang w:val="lt-LT"/>
        </w:rPr>
      </w:pPr>
      <w:r w:rsidRPr="001F474C">
        <w:tab/>
        <w:t xml:space="preserve">* </w:t>
      </w:r>
      <w:r w:rsidRPr="00366539">
        <w:rPr>
          <w:color w:val="000000"/>
          <w:lang w:val="lt-LT"/>
        </w:rPr>
        <w:t>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w:t>
      </w:r>
    </w:p>
    <w:p w:rsidR="00366539" w:rsidRPr="00366539" w:rsidRDefault="00366539" w:rsidP="00366539">
      <w:pPr>
        <w:jc w:val="center"/>
        <w:rPr>
          <w:bCs/>
          <w:lang w:val="lt-LT"/>
        </w:rPr>
      </w:pPr>
      <w:r>
        <w:rPr>
          <w:color w:val="000000"/>
          <w:lang w:val="lt-LT"/>
        </w:rPr>
        <w:t>_________________________________</w:t>
      </w:r>
      <w:bookmarkStart w:id="1" w:name="_GoBack"/>
      <w:bookmarkEnd w:id="1"/>
    </w:p>
    <w:p w:rsidR="00881059" w:rsidRDefault="00881059" w:rsidP="005D0454">
      <w:pPr>
        <w:jc w:val="both"/>
        <w:rPr>
          <w:lang w:val="lt-LT"/>
        </w:rPr>
      </w:pPr>
    </w:p>
    <w:p w:rsidR="005B618F" w:rsidRDefault="005B618F" w:rsidP="005D0454">
      <w:pPr>
        <w:jc w:val="both"/>
        <w:rPr>
          <w:lang w:val="lt-LT"/>
        </w:rPr>
      </w:pPr>
    </w:p>
    <w:p w:rsidR="00133D99" w:rsidRDefault="00133D99" w:rsidP="005D0454">
      <w:pPr>
        <w:jc w:val="both"/>
        <w:rPr>
          <w:lang w:val="lt-LT"/>
        </w:rPr>
      </w:pPr>
    </w:p>
    <w:p w:rsidR="00133D99" w:rsidRDefault="00133D99" w:rsidP="005D0454">
      <w:pPr>
        <w:jc w:val="both"/>
        <w:rPr>
          <w:lang w:val="lt-LT"/>
        </w:rPr>
      </w:pPr>
    </w:p>
    <w:p w:rsidR="00133D99" w:rsidRDefault="00133D99" w:rsidP="005D0454">
      <w:pPr>
        <w:jc w:val="both"/>
        <w:rPr>
          <w:lang w:val="lt-LT"/>
        </w:rPr>
      </w:pPr>
    </w:p>
    <w:p w:rsidR="00133D99" w:rsidRDefault="00133D99" w:rsidP="005D0454">
      <w:pPr>
        <w:jc w:val="both"/>
        <w:rPr>
          <w:lang w:val="lt-LT"/>
        </w:rPr>
      </w:pPr>
    </w:p>
    <w:sectPr w:rsidR="00133D99" w:rsidSect="00076268">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37"/>
    <w:rsid w:val="00005D14"/>
    <w:rsid w:val="000107AD"/>
    <w:rsid w:val="00044C57"/>
    <w:rsid w:val="00055103"/>
    <w:rsid w:val="00076268"/>
    <w:rsid w:val="000917A9"/>
    <w:rsid w:val="000B0491"/>
    <w:rsid w:val="000B73A0"/>
    <w:rsid w:val="00122C73"/>
    <w:rsid w:val="00133D99"/>
    <w:rsid w:val="0014152C"/>
    <w:rsid w:val="001B4103"/>
    <w:rsid w:val="001C055B"/>
    <w:rsid w:val="001C2CC1"/>
    <w:rsid w:val="002310C6"/>
    <w:rsid w:val="00254BB0"/>
    <w:rsid w:val="00267065"/>
    <w:rsid w:val="002C040A"/>
    <w:rsid w:val="002E6D5C"/>
    <w:rsid w:val="00342380"/>
    <w:rsid w:val="00366539"/>
    <w:rsid w:val="00367EB8"/>
    <w:rsid w:val="003F7553"/>
    <w:rsid w:val="004155A4"/>
    <w:rsid w:val="004377BD"/>
    <w:rsid w:val="00453C8A"/>
    <w:rsid w:val="004764D3"/>
    <w:rsid w:val="0049014F"/>
    <w:rsid w:val="004A0A2E"/>
    <w:rsid w:val="004E309F"/>
    <w:rsid w:val="005261BD"/>
    <w:rsid w:val="00550807"/>
    <w:rsid w:val="0059054A"/>
    <w:rsid w:val="005B618F"/>
    <w:rsid w:val="005D0454"/>
    <w:rsid w:val="0061497A"/>
    <w:rsid w:val="00620A51"/>
    <w:rsid w:val="006E2AD6"/>
    <w:rsid w:val="006F7ECD"/>
    <w:rsid w:val="00714E5E"/>
    <w:rsid w:val="00715696"/>
    <w:rsid w:val="00756AD5"/>
    <w:rsid w:val="007661B3"/>
    <w:rsid w:val="007A1594"/>
    <w:rsid w:val="007D3EBC"/>
    <w:rsid w:val="007E1F61"/>
    <w:rsid w:val="00822F62"/>
    <w:rsid w:val="00840C46"/>
    <w:rsid w:val="00844D87"/>
    <w:rsid w:val="00846F84"/>
    <w:rsid w:val="008546D3"/>
    <w:rsid w:val="00881059"/>
    <w:rsid w:val="00883AFF"/>
    <w:rsid w:val="00892D40"/>
    <w:rsid w:val="008B2460"/>
    <w:rsid w:val="008C1222"/>
    <w:rsid w:val="008F61FE"/>
    <w:rsid w:val="00933995"/>
    <w:rsid w:val="00937A44"/>
    <w:rsid w:val="009416F7"/>
    <w:rsid w:val="00973B1E"/>
    <w:rsid w:val="009744AD"/>
    <w:rsid w:val="009D3DE5"/>
    <w:rsid w:val="00A022B6"/>
    <w:rsid w:val="00A042A3"/>
    <w:rsid w:val="00A13965"/>
    <w:rsid w:val="00A2104D"/>
    <w:rsid w:val="00A43439"/>
    <w:rsid w:val="00A809B0"/>
    <w:rsid w:val="00AB7058"/>
    <w:rsid w:val="00B10ABA"/>
    <w:rsid w:val="00B509AE"/>
    <w:rsid w:val="00BC6BF9"/>
    <w:rsid w:val="00C42C91"/>
    <w:rsid w:val="00C729AD"/>
    <w:rsid w:val="00C968C4"/>
    <w:rsid w:val="00CB1D8D"/>
    <w:rsid w:val="00CB75FC"/>
    <w:rsid w:val="00D34537"/>
    <w:rsid w:val="00DD780F"/>
    <w:rsid w:val="00DF4BDC"/>
    <w:rsid w:val="00E301CE"/>
    <w:rsid w:val="00E622CF"/>
    <w:rsid w:val="00E84C8B"/>
    <w:rsid w:val="00ED6054"/>
    <w:rsid w:val="00EE0CC2"/>
    <w:rsid w:val="00F014A6"/>
    <w:rsid w:val="00F02884"/>
    <w:rsid w:val="00F2125A"/>
    <w:rsid w:val="00F46BD8"/>
    <w:rsid w:val="00F96AB2"/>
    <w:rsid w:val="00FA2FF7"/>
    <w:rsid w:val="00FB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10C6"/>
    <w:rPr>
      <w:sz w:val="24"/>
      <w:szCs w:val="24"/>
      <w:lang w:val="en-GB" w:eastAsia="en-US"/>
    </w:rPr>
  </w:style>
  <w:style w:type="paragraph" w:styleId="Antrat1">
    <w:name w:val="heading 1"/>
    <w:basedOn w:val="prastasis"/>
    <w:next w:val="prastasis"/>
    <w:qFormat/>
    <w:rsid w:val="002310C6"/>
    <w:pPr>
      <w:keepNext/>
      <w:jc w:val="right"/>
      <w:outlineLvl w:val="0"/>
    </w:pPr>
    <w:rPr>
      <w:b/>
      <w:caps/>
      <w:sz w:val="20"/>
      <w:szCs w:val="20"/>
      <w:lang w:val="lt-LT"/>
    </w:rPr>
  </w:style>
  <w:style w:type="paragraph" w:styleId="Antrat3">
    <w:name w:val="heading 3"/>
    <w:basedOn w:val="prastasis"/>
    <w:next w:val="prastasis"/>
    <w:qFormat/>
    <w:rsid w:val="005B618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96AB2"/>
    <w:pPr>
      <w:spacing w:before="100" w:beforeAutospacing="1" w:after="100" w:afterAutospacing="1"/>
    </w:pPr>
    <w:rPr>
      <w:lang w:val="lt-LT" w:eastAsia="lt-LT"/>
    </w:rPr>
  </w:style>
  <w:style w:type="paragraph" w:styleId="Pagrindiniotekstotrauka2">
    <w:name w:val="Body Text Indent 2"/>
    <w:basedOn w:val="prastasis"/>
    <w:rsid w:val="00F96AB2"/>
    <w:pPr>
      <w:spacing w:before="100" w:beforeAutospacing="1" w:after="100" w:afterAutospacing="1"/>
    </w:pPr>
    <w:rPr>
      <w:lang w:val="lt-LT" w:eastAsia="lt-LT"/>
    </w:rPr>
  </w:style>
  <w:style w:type="paragraph" w:styleId="Pagrindiniotekstotrauka">
    <w:name w:val="Body Text Indent"/>
    <w:basedOn w:val="prastasis"/>
    <w:rsid w:val="00F96AB2"/>
    <w:pPr>
      <w:spacing w:before="100" w:beforeAutospacing="1" w:after="100" w:afterAutospacing="1"/>
    </w:pPr>
    <w:rPr>
      <w:lang w:val="lt-LT" w:eastAsia="lt-LT"/>
    </w:rPr>
  </w:style>
  <w:style w:type="paragraph" w:styleId="Pagrindinistekstas2">
    <w:name w:val="Body Text 2"/>
    <w:basedOn w:val="prastasis"/>
    <w:rsid w:val="00F96AB2"/>
    <w:pPr>
      <w:spacing w:before="100" w:beforeAutospacing="1" w:after="100" w:afterAutospacing="1"/>
    </w:pPr>
    <w:rPr>
      <w:lang w:val="lt-LT" w:eastAsia="lt-LT"/>
    </w:rPr>
  </w:style>
  <w:style w:type="paragraph" w:styleId="Debesliotekstas">
    <w:name w:val="Balloon Text"/>
    <w:basedOn w:val="prastasis"/>
    <w:semiHidden/>
    <w:rsid w:val="007D3EBC"/>
    <w:rPr>
      <w:rFonts w:ascii="Tahoma" w:hAnsi="Tahoma" w:cs="Tahoma"/>
      <w:sz w:val="16"/>
      <w:szCs w:val="16"/>
    </w:rPr>
  </w:style>
  <w:style w:type="table" w:styleId="Lentelstinklelis">
    <w:name w:val="Table Grid"/>
    <w:basedOn w:val="prastojilentel"/>
    <w:rsid w:val="0001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F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F61F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10C6"/>
    <w:rPr>
      <w:sz w:val="24"/>
      <w:szCs w:val="24"/>
      <w:lang w:val="en-GB" w:eastAsia="en-US"/>
    </w:rPr>
  </w:style>
  <w:style w:type="paragraph" w:styleId="Antrat1">
    <w:name w:val="heading 1"/>
    <w:basedOn w:val="prastasis"/>
    <w:next w:val="prastasis"/>
    <w:qFormat/>
    <w:rsid w:val="002310C6"/>
    <w:pPr>
      <w:keepNext/>
      <w:jc w:val="right"/>
      <w:outlineLvl w:val="0"/>
    </w:pPr>
    <w:rPr>
      <w:b/>
      <w:caps/>
      <w:sz w:val="20"/>
      <w:szCs w:val="20"/>
      <w:lang w:val="lt-LT"/>
    </w:rPr>
  </w:style>
  <w:style w:type="paragraph" w:styleId="Antrat3">
    <w:name w:val="heading 3"/>
    <w:basedOn w:val="prastasis"/>
    <w:next w:val="prastasis"/>
    <w:qFormat/>
    <w:rsid w:val="005B618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96AB2"/>
    <w:pPr>
      <w:spacing w:before="100" w:beforeAutospacing="1" w:after="100" w:afterAutospacing="1"/>
    </w:pPr>
    <w:rPr>
      <w:lang w:val="lt-LT" w:eastAsia="lt-LT"/>
    </w:rPr>
  </w:style>
  <w:style w:type="paragraph" w:styleId="Pagrindiniotekstotrauka2">
    <w:name w:val="Body Text Indent 2"/>
    <w:basedOn w:val="prastasis"/>
    <w:rsid w:val="00F96AB2"/>
    <w:pPr>
      <w:spacing w:before="100" w:beforeAutospacing="1" w:after="100" w:afterAutospacing="1"/>
    </w:pPr>
    <w:rPr>
      <w:lang w:val="lt-LT" w:eastAsia="lt-LT"/>
    </w:rPr>
  </w:style>
  <w:style w:type="paragraph" w:styleId="Pagrindiniotekstotrauka">
    <w:name w:val="Body Text Indent"/>
    <w:basedOn w:val="prastasis"/>
    <w:rsid w:val="00F96AB2"/>
    <w:pPr>
      <w:spacing w:before="100" w:beforeAutospacing="1" w:after="100" w:afterAutospacing="1"/>
    </w:pPr>
    <w:rPr>
      <w:lang w:val="lt-LT" w:eastAsia="lt-LT"/>
    </w:rPr>
  </w:style>
  <w:style w:type="paragraph" w:styleId="Pagrindinistekstas2">
    <w:name w:val="Body Text 2"/>
    <w:basedOn w:val="prastasis"/>
    <w:rsid w:val="00F96AB2"/>
    <w:pPr>
      <w:spacing w:before="100" w:beforeAutospacing="1" w:after="100" w:afterAutospacing="1"/>
    </w:pPr>
    <w:rPr>
      <w:lang w:val="lt-LT" w:eastAsia="lt-LT"/>
    </w:rPr>
  </w:style>
  <w:style w:type="paragraph" w:styleId="Debesliotekstas">
    <w:name w:val="Balloon Text"/>
    <w:basedOn w:val="prastasis"/>
    <w:semiHidden/>
    <w:rsid w:val="007D3EBC"/>
    <w:rPr>
      <w:rFonts w:ascii="Tahoma" w:hAnsi="Tahoma" w:cs="Tahoma"/>
      <w:sz w:val="16"/>
      <w:szCs w:val="16"/>
    </w:rPr>
  </w:style>
  <w:style w:type="table" w:styleId="Lentelstinklelis">
    <w:name w:val="Table Grid"/>
    <w:basedOn w:val="prastojilentel"/>
    <w:rsid w:val="0001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F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F61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5094">
      <w:bodyDiv w:val="1"/>
      <w:marLeft w:val="0"/>
      <w:marRight w:val="0"/>
      <w:marTop w:val="0"/>
      <w:marBottom w:val="0"/>
      <w:divBdr>
        <w:top w:val="none" w:sz="0" w:space="0" w:color="auto"/>
        <w:left w:val="none" w:sz="0" w:space="0" w:color="auto"/>
        <w:bottom w:val="none" w:sz="0" w:space="0" w:color="auto"/>
        <w:right w:val="none" w:sz="0" w:space="0" w:color="auto"/>
      </w:divBdr>
    </w:div>
    <w:div w:id="220605264">
      <w:bodyDiv w:val="1"/>
      <w:marLeft w:val="0"/>
      <w:marRight w:val="0"/>
      <w:marTop w:val="0"/>
      <w:marBottom w:val="0"/>
      <w:divBdr>
        <w:top w:val="none" w:sz="0" w:space="0" w:color="auto"/>
        <w:left w:val="none" w:sz="0" w:space="0" w:color="auto"/>
        <w:bottom w:val="none" w:sz="0" w:space="0" w:color="auto"/>
        <w:right w:val="none" w:sz="0" w:space="0" w:color="auto"/>
      </w:divBdr>
    </w:div>
    <w:div w:id="239142629">
      <w:bodyDiv w:val="1"/>
      <w:marLeft w:val="0"/>
      <w:marRight w:val="0"/>
      <w:marTop w:val="0"/>
      <w:marBottom w:val="0"/>
      <w:divBdr>
        <w:top w:val="none" w:sz="0" w:space="0" w:color="auto"/>
        <w:left w:val="none" w:sz="0" w:space="0" w:color="auto"/>
        <w:bottom w:val="none" w:sz="0" w:space="0" w:color="auto"/>
        <w:right w:val="none" w:sz="0" w:space="0" w:color="auto"/>
      </w:divBdr>
      <w:divsChild>
        <w:div w:id="261959767">
          <w:marLeft w:val="0"/>
          <w:marRight w:val="0"/>
          <w:marTop w:val="0"/>
          <w:marBottom w:val="0"/>
          <w:divBdr>
            <w:top w:val="none" w:sz="0" w:space="0" w:color="auto"/>
            <w:left w:val="none" w:sz="0" w:space="0" w:color="auto"/>
            <w:bottom w:val="none" w:sz="0" w:space="0" w:color="auto"/>
            <w:right w:val="none" w:sz="0" w:space="0" w:color="auto"/>
          </w:divBdr>
        </w:div>
      </w:divsChild>
    </w:div>
    <w:div w:id="698551722">
      <w:bodyDiv w:val="1"/>
      <w:marLeft w:val="0"/>
      <w:marRight w:val="0"/>
      <w:marTop w:val="0"/>
      <w:marBottom w:val="0"/>
      <w:divBdr>
        <w:top w:val="none" w:sz="0" w:space="0" w:color="auto"/>
        <w:left w:val="none" w:sz="0" w:space="0" w:color="auto"/>
        <w:bottom w:val="none" w:sz="0" w:space="0" w:color="auto"/>
        <w:right w:val="none" w:sz="0" w:space="0" w:color="auto"/>
      </w:divBdr>
    </w:div>
    <w:div w:id="805780695">
      <w:bodyDiv w:val="1"/>
      <w:marLeft w:val="0"/>
      <w:marRight w:val="0"/>
      <w:marTop w:val="0"/>
      <w:marBottom w:val="0"/>
      <w:divBdr>
        <w:top w:val="none" w:sz="0" w:space="0" w:color="auto"/>
        <w:left w:val="none" w:sz="0" w:space="0" w:color="auto"/>
        <w:bottom w:val="none" w:sz="0" w:space="0" w:color="auto"/>
        <w:right w:val="none" w:sz="0" w:space="0" w:color="auto"/>
      </w:divBdr>
    </w:div>
    <w:div w:id="963389633">
      <w:bodyDiv w:val="1"/>
      <w:marLeft w:val="0"/>
      <w:marRight w:val="0"/>
      <w:marTop w:val="0"/>
      <w:marBottom w:val="0"/>
      <w:divBdr>
        <w:top w:val="none" w:sz="0" w:space="0" w:color="auto"/>
        <w:left w:val="none" w:sz="0" w:space="0" w:color="auto"/>
        <w:bottom w:val="none" w:sz="0" w:space="0" w:color="auto"/>
        <w:right w:val="none" w:sz="0" w:space="0" w:color="auto"/>
      </w:divBdr>
    </w:div>
    <w:div w:id="1524975873">
      <w:bodyDiv w:val="1"/>
      <w:marLeft w:val="0"/>
      <w:marRight w:val="0"/>
      <w:marTop w:val="0"/>
      <w:marBottom w:val="0"/>
      <w:divBdr>
        <w:top w:val="none" w:sz="0" w:space="0" w:color="auto"/>
        <w:left w:val="none" w:sz="0" w:space="0" w:color="auto"/>
        <w:bottom w:val="none" w:sz="0" w:space="0" w:color="auto"/>
        <w:right w:val="none" w:sz="0" w:space="0" w:color="auto"/>
      </w:divBdr>
    </w:div>
    <w:div w:id="2103253660">
      <w:bodyDiv w:val="1"/>
      <w:marLeft w:val="0"/>
      <w:marRight w:val="0"/>
      <w:marTop w:val="0"/>
      <w:marBottom w:val="0"/>
      <w:divBdr>
        <w:top w:val="none" w:sz="0" w:space="0" w:color="auto"/>
        <w:left w:val="none" w:sz="0" w:space="0" w:color="auto"/>
        <w:bottom w:val="none" w:sz="0" w:space="0" w:color="auto"/>
        <w:right w:val="none" w:sz="0" w:space="0" w:color="auto"/>
      </w:divBdr>
    </w:div>
    <w:div w:id="21343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11BF-E8C4-4861-937E-0F17B9AC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3140</Words>
  <Characters>1791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dc:creator>
  <cp:lastModifiedBy>Rimvydas</cp:lastModifiedBy>
  <cp:revision>2</cp:revision>
  <cp:lastPrinted>2006-05-02T12:04:00Z</cp:lastPrinted>
  <dcterms:created xsi:type="dcterms:W3CDTF">2022-12-13T12:26:00Z</dcterms:created>
  <dcterms:modified xsi:type="dcterms:W3CDTF">2022-12-13T12:26:00Z</dcterms:modified>
</cp:coreProperties>
</file>