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8C" w:rsidRDefault="004F3F8C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4473F044" wp14:editId="444522E7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F8C" w:rsidRDefault="004F3F8C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F50B2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D433F6" w:rsidRPr="009F50B2" w:rsidRDefault="000744C2" w:rsidP="000744C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2017</w:t>
      </w:r>
      <w:r w:rsidR="00FC668D">
        <w:rPr>
          <w:rFonts w:ascii="Times New Roman" w:hAnsi="Times New Roman" w:cs="Times New Roman"/>
          <w:b/>
          <w:caps/>
          <w:sz w:val="24"/>
          <w:szCs w:val="24"/>
        </w:rPr>
        <w:t>-2020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 xml:space="preserve"> METŲ KRETINGOS RAJONO SAVIVALDYBĖS VISUOMENĖS SVEIKATOS RĖMIMO SPECIALIOSIOS PROGRAMOS LĖŠŲ PANAUDOJIMO </w:t>
      </w:r>
      <w:r w:rsidR="00FC668D">
        <w:rPr>
          <w:rFonts w:ascii="Times New Roman" w:hAnsi="Times New Roman" w:cs="Times New Roman"/>
          <w:b/>
          <w:caps/>
          <w:sz w:val="24"/>
          <w:szCs w:val="24"/>
        </w:rPr>
        <w:t xml:space="preserve">2017 m. 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>ATASKAITOS PATVIRTINIMO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F8C" w:rsidRDefault="00CF2E7A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D433F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C81A2C">
        <w:rPr>
          <w:rFonts w:ascii="Times New Roman" w:hAnsi="Times New Roman" w:cs="Times New Roman"/>
          <w:sz w:val="24"/>
          <w:szCs w:val="24"/>
        </w:rPr>
        <w:t>k</w:t>
      </w:r>
      <w:r w:rsidR="00384E02">
        <w:rPr>
          <w:rFonts w:ascii="Times New Roman" w:hAnsi="Times New Roman" w:cs="Times New Roman"/>
          <w:sz w:val="24"/>
          <w:szCs w:val="24"/>
        </w:rPr>
        <w:t>ovo</w:t>
      </w:r>
      <w:r w:rsidR="005F7746">
        <w:rPr>
          <w:rFonts w:ascii="Times New Roman" w:hAnsi="Times New Roman" w:cs="Times New Roman"/>
          <w:sz w:val="24"/>
          <w:szCs w:val="24"/>
        </w:rPr>
        <w:t xml:space="preserve"> </w:t>
      </w:r>
      <w:r w:rsidR="004F3F8C">
        <w:rPr>
          <w:rFonts w:ascii="Times New Roman" w:hAnsi="Times New Roman" w:cs="Times New Roman"/>
          <w:sz w:val="24"/>
          <w:szCs w:val="24"/>
        </w:rPr>
        <w:t>2</w:t>
      </w:r>
      <w:r w:rsidR="005F7746">
        <w:rPr>
          <w:rFonts w:ascii="Times New Roman" w:hAnsi="Times New Roman" w:cs="Times New Roman"/>
          <w:sz w:val="24"/>
          <w:szCs w:val="24"/>
        </w:rPr>
        <w:t xml:space="preserve">9 d.  </w:t>
      </w:r>
      <w:r w:rsidR="003752E4">
        <w:rPr>
          <w:rFonts w:ascii="Times New Roman" w:hAnsi="Times New Roman" w:cs="Times New Roman"/>
          <w:sz w:val="24"/>
          <w:szCs w:val="24"/>
        </w:rPr>
        <w:t>Nr.</w:t>
      </w:r>
      <w:r w:rsidR="005F7746">
        <w:rPr>
          <w:rFonts w:ascii="Times New Roman" w:hAnsi="Times New Roman" w:cs="Times New Roman"/>
          <w:sz w:val="24"/>
          <w:szCs w:val="24"/>
        </w:rPr>
        <w:t>T</w:t>
      </w:r>
      <w:r w:rsidR="004F3F8C">
        <w:rPr>
          <w:rFonts w:ascii="Times New Roman" w:hAnsi="Times New Roman" w:cs="Times New Roman"/>
          <w:sz w:val="24"/>
          <w:szCs w:val="24"/>
        </w:rPr>
        <w:t>2</w:t>
      </w:r>
      <w:r w:rsidR="005F7746">
        <w:rPr>
          <w:rFonts w:ascii="Times New Roman" w:hAnsi="Times New Roman" w:cs="Times New Roman"/>
          <w:sz w:val="24"/>
          <w:szCs w:val="24"/>
        </w:rPr>
        <w:t>-</w:t>
      </w:r>
      <w:r w:rsidR="004F3F8C">
        <w:rPr>
          <w:rFonts w:ascii="Times New Roman" w:hAnsi="Times New Roman" w:cs="Times New Roman"/>
          <w:sz w:val="24"/>
          <w:szCs w:val="24"/>
        </w:rPr>
        <w:t>111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:rsidR="00D433F6" w:rsidRPr="009F50B2" w:rsidRDefault="00D433F6" w:rsidP="00D433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Pr="000744C2" w:rsidRDefault="000744C2" w:rsidP="00074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44C2">
        <w:rPr>
          <w:rFonts w:ascii="Times New Roman" w:hAnsi="Times New Roman" w:cs="Times New Roman"/>
          <w:sz w:val="24"/>
          <w:szCs w:val="24"/>
        </w:rPr>
        <w:t>Vadovaudamasi Lietuvos Respublikos vietos savivaldos 6 straipsnio 18 punktu, Lietuvos Respublikos sveikatos sistemos įstatymo 63 straipsnio 5 punktu, Kretingos rajono savivaldybės taryba  n u s p r e n d ž i a:</w:t>
      </w:r>
    </w:p>
    <w:p w:rsidR="000744C2" w:rsidRPr="000744C2" w:rsidRDefault="000744C2" w:rsidP="000744C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4C2">
        <w:rPr>
          <w:rFonts w:ascii="Times New Roman" w:hAnsi="Times New Roman" w:cs="Times New Roman"/>
          <w:sz w:val="24"/>
          <w:szCs w:val="24"/>
        </w:rPr>
        <w:t xml:space="preserve">1. Patvirtinti 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FC668D">
        <w:rPr>
          <w:rFonts w:ascii="Times New Roman" w:hAnsi="Times New Roman" w:cs="Times New Roman"/>
          <w:sz w:val="24"/>
          <w:szCs w:val="24"/>
        </w:rPr>
        <w:t>-2020</w:t>
      </w:r>
      <w:r w:rsidRPr="000744C2">
        <w:rPr>
          <w:rFonts w:ascii="Times New Roman" w:hAnsi="Times New Roman" w:cs="Times New Roman"/>
          <w:sz w:val="24"/>
          <w:szCs w:val="24"/>
        </w:rPr>
        <w:t xml:space="preserve"> metų Kretingos rajono savivaldybės visuomenės sveikatos rėmimo specialiosios programos lėšų panaudojimo </w:t>
      </w:r>
      <w:r w:rsidR="00FC668D">
        <w:rPr>
          <w:rFonts w:ascii="Times New Roman" w:hAnsi="Times New Roman" w:cs="Times New Roman"/>
          <w:sz w:val="24"/>
          <w:szCs w:val="24"/>
        </w:rPr>
        <w:t xml:space="preserve">2017 m. </w:t>
      </w:r>
      <w:r w:rsidRPr="000744C2">
        <w:rPr>
          <w:rFonts w:ascii="Times New Roman" w:hAnsi="Times New Roman" w:cs="Times New Roman"/>
          <w:sz w:val="24"/>
          <w:szCs w:val="24"/>
        </w:rPr>
        <w:t>ataskaitą (pridedama).</w:t>
      </w:r>
    </w:p>
    <w:p w:rsidR="00486E74" w:rsidRPr="00486E74" w:rsidRDefault="000744C2" w:rsidP="00486E7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4C2">
        <w:rPr>
          <w:rFonts w:ascii="Times New Roman" w:hAnsi="Times New Roman" w:cs="Times New Roman"/>
          <w:sz w:val="24"/>
          <w:szCs w:val="24"/>
        </w:rPr>
        <w:t xml:space="preserve">2. </w:t>
      </w:r>
      <w:r w:rsidR="00486E74" w:rsidRPr="00486E74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="00486E74" w:rsidRPr="00486E7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486E74" w:rsidRPr="00486E74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įsakymo paskelbimo arba įteikimo suinteresuotam asmeniui dienos.</w:t>
      </w:r>
    </w:p>
    <w:p w:rsidR="00D433F6" w:rsidRDefault="00D433F6" w:rsidP="00D433F6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4F3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Juozas Mažeika </w:t>
      </w: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C6B" w:rsidRDefault="003A5C6B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BDD" w:rsidRDefault="00E14BDD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BDD" w:rsidRDefault="00E14BDD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Default="00721ABF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433F6" w:rsidRPr="009F50B2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="00D433F6" w:rsidRPr="009F50B2"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p w:rsidR="00D433F6" w:rsidRDefault="003A5C6B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433F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433F6">
        <w:rPr>
          <w:rFonts w:ascii="Times New Roman" w:hAnsi="Times New Roman" w:cs="Times New Roman"/>
          <w:sz w:val="24"/>
          <w:szCs w:val="24"/>
        </w:rPr>
        <w:tab/>
      </w:r>
      <w:r w:rsidR="00D433F6">
        <w:rPr>
          <w:rFonts w:ascii="Times New Roman" w:hAnsi="Times New Roman" w:cs="Times New Roman"/>
          <w:sz w:val="24"/>
          <w:szCs w:val="24"/>
        </w:rPr>
        <w:tab/>
      </w:r>
      <w:r w:rsidR="00D433F6">
        <w:rPr>
          <w:rFonts w:ascii="Times New Roman" w:hAnsi="Times New Roman" w:cs="Times New Roman"/>
          <w:sz w:val="24"/>
          <w:szCs w:val="24"/>
        </w:rPr>
        <w:tab/>
        <w:t>PATVIRTINTA</w:t>
      </w:r>
    </w:p>
    <w:p w:rsidR="00D433F6" w:rsidRDefault="00D433F6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Kretingos rajono savivaldybės tarybos</w:t>
      </w:r>
    </w:p>
    <w:p w:rsidR="00D433F6" w:rsidRDefault="00C97814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6E74">
        <w:rPr>
          <w:rFonts w:ascii="Times New Roman" w:hAnsi="Times New Roman" w:cs="Times New Roman"/>
          <w:sz w:val="24"/>
          <w:szCs w:val="24"/>
        </w:rPr>
        <w:t>2018 m. kovo</w:t>
      </w:r>
      <w:r w:rsidR="005F7746">
        <w:rPr>
          <w:rFonts w:ascii="Times New Roman" w:hAnsi="Times New Roman" w:cs="Times New Roman"/>
          <w:sz w:val="24"/>
          <w:szCs w:val="24"/>
        </w:rPr>
        <w:t xml:space="preserve"> 29 </w:t>
      </w:r>
      <w:r>
        <w:rPr>
          <w:rFonts w:ascii="Times New Roman" w:hAnsi="Times New Roman" w:cs="Times New Roman"/>
          <w:sz w:val="24"/>
          <w:szCs w:val="24"/>
        </w:rPr>
        <w:t>d. sprendimu Nr.</w:t>
      </w:r>
      <w:r w:rsidR="004F3F8C">
        <w:rPr>
          <w:rFonts w:ascii="Times New Roman" w:hAnsi="Times New Roman" w:cs="Times New Roman"/>
          <w:sz w:val="24"/>
          <w:szCs w:val="24"/>
        </w:rPr>
        <w:t>T2-111</w:t>
      </w:r>
    </w:p>
    <w:p w:rsidR="00C97814" w:rsidRDefault="00C97814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814" w:rsidRPr="00C97814" w:rsidRDefault="000744C2" w:rsidP="00C97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2017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 xml:space="preserve"> METŲ KRETINGOS RAJONO SAVIVALDYBĖS VISUOMENĖS SVEIKATOS RĖMIMO SPECIALIOSIOS PROGRA</w:t>
      </w:r>
      <w:r>
        <w:rPr>
          <w:rFonts w:ascii="Times New Roman" w:hAnsi="Times New Roman" w:cs="Times New Roman"/>
          <w:b/>
          <w:caps/>
          <w:sz w:val="24"/>
          <w:szCs w:val="24"/>
        </w:rPr>
        <w:t>MOS LĖŠŲ PANAUDOJIMO ATASKAITA</w:t>
      </w:r>
    </w:p>
    <w:p w:rsidR="00C97814" w:rsidRPr="00C97814" w:rsidRDefault="00C97814" w:rsidP="00C97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4C2" w:rsidRPr="00C83F42" w:rsidRDefault="000744C2" w:rsidP="000744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>1. SAVIVALDYBĖS VISUOMENĖS SVEIKATOS RĖMIMO SPECIALIOSIOS PROGRAMOS LĖŠOS</w:t>
      </w:r>
    </w:p>
    <w:p w:rsidR="000744C2" w:rsidRPr="00C83F42" w:rsidRDefault="000744C2" w:rsidP="000744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937"/>
        <w:gridCol w:w="1656"/>
      </w:tblGrid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rėmimo specialiosios programos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Surinkta lėšų, eurais 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Lėšų likutis ataskai</w:t>
            </w:r>
            <w:r w:rsidR="00E66443">
              <w:rPr>
                <w:rFonts w:ascii="Times New Roman" w:eastAsia="Times New Roman" w:hAnsi="Times New Roman" w:cs="Times New Roman"/>
                <w:lang w:eastAsia="lt-LT"/>
              </w:rPr>
              <w:t>tinių biudžetinių 2017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metų pabaigoje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486E74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28120</w:t>
            </w:r>
            <w:r w:rsidR="000744C2" w:rsidRPr="004F6747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aplinkos apsaugos rėmimo specialiosios programos lėšos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486E74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18300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Savivaldybės biudžeto asignavimai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Savanoriškos fizinių ir juridinių asmenų įmokos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Kiti teisėti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0744C2" w:rsidRPr="00C83F42" w:rsidTr="00BC501F">
        <w:trPr>
          <w:jc w:val="center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 viso lėšų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B123E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4640</w:t>
            </w:r>
            <w:r w:rsidR="00486E74">
              <w:rPr>
                <w:rFonts w:ascii="Times New Roman" w:eastAsia="Times New Roman" w:hAnsi="Times New Roman" w:cs="Times New Roman"/>
                <w:lang w:eastAsia="lt-LT"/>
              </w:rPr>
              <w:t>0,0</w:t>
            </w:r>
          </w:p>
        </w:tc>
      </w:tr>
    </w:tbl>
    <w:p w:rsidR="000744C2" w:rsidRDefault="000744C2" w:rsidP="000744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0744C2" w:rsidRDefault="000744C2" w:rsidP="000744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 xml:space="preserve">2. SAVIVALDYBĖS VISUOMENĖS SVEIKATOS RĖMIMO SPECIALIOSIOS </w:t>
      </w:r>
    </w:p>
    <w:p w:rsidR="000744C2" w:rsidRPr="00C83F42" w:rsidRDefault="000744C2" w:rsidP="000744C2">
      <w:pPr>
        <w:spacing w:after="0" w:line="240" w:lineRule="auto"/>
        <w:ind w:left="1702" w:firstLine="851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PROGRAMOS </w:t>
      </w:r>
      <w:r w:rsidRPr="00C83F42">
        <w:rPr>
          <w:rFonts w:ascii="Times New Roman" w:eastAsia="Times New Roman" w:hAnsi="Times New Roman" w:cs="Times New Roman"/>
          <w:lang w:eastAsia="lt-LT"/>
        </w:rPr>
        <w:t>ĮGYVENDINTOS PRIEMONĖS</w:t>
      </w:r>
    </w:p>
    <w:p w:rsidR="000744C2" w:rsidRPr="00C83F42" w:rsidRDefault="000744C2" w:rsidP="000744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171" w:type="dxa"/>
        <w:jc w:val="center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3078"/>
        <w:gridCol w:w="2199"/>
        <w:gridCol w:w="1292"/>
        <w:gridCol w:w="1382"/>
      </w:tblGrid>
      <w:tr w:rsidR="000744C2" w:rsidRPr="00C83F42" w:rsidTr="00E14BDD">
        <w:trPr>
          <w:trHeight w:val="133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E14BDD">
            <w:pPr>
              <w:tabs>
                <w:tab w:val="left" w:pos="540"/>
              </w:tabs>
              <w:spacing w:after="0" w:line="240" w:lineRule="auto"/>
              <w:ind w:left="-132"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programų sritys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Vykdytų savivaldybės visuomenės sveikatos programų skaičius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Skirta lėšų, eurais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Panaudota</w:t>
            </w:r>
          </w:p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lėšų, eurais</w:t>
            </w:r>
          </w:p>
        </w:tc>
      </w:tr>
      <w:tr w:rsidR="000744C2" w:rsidRPr="00C83F42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Užkrečiamųjų ligų profilaktikos ir kontrolės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B123E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10689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4000,0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Psichikos sveikatos stiprinimo, savižudybių ir smurto prevencijos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4300,0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Vaikų ir jaunimo sveikatos išsaugojimo ir stiprinimo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B123E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29090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C81A2C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6164</w:t>
            </w:r>
            <w:r w:rsidR="000744C2" w:rsidRPr="00384E02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Suaugusiųjų fizinio aktyvumo programos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B123E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1460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B123E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1460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Gyvenamosios aplinkos sveikatinimo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411,0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Triukšmo prevencijos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450,0</w:t>
            </w:r>
          </w:p>
        </w:tc>
      </w:tr>
      <w:tr w:rsidR="000744C2" w:rsidRPr="006C2551" w:rsidTr="00E14BDD">
        <w:trPr>
          <w:jc w:val="center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 viso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B123E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4C407B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16335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</w:tbl>
    <w:p w:rsidR="000744C2" w:rsidRPr="006C2551" w:rsidRDefault="000744C2" w:rsidP="000744C2">
      <w:pPr>
        <w:tabs>
          <w:tab w:val="left" w:pos="540"/>
        </w:tabs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lang w:eastAsia="lt-LT"/>
        </w:rPr>
      </w:pPr>
    </w:p>
    <w:p w:rsidR="000744C2" w:rsidRPr="006C2551" w:rsidRDefault="000744C2" w:rsidP="000744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C2551">
        <w:rPr>
          <w:rFonts w:ascii="Times New Roman" w:eastAsia="Times New Roman" w:hAnsi="Times New Roman" w:cs="Times New Roman"/>
          <w:lang w:eastAsia="lt-LT"/>
        </w:rPr>
        <w:t>3. SAVIVALDYBĖS BENDRUOMENĖS SVEIKATOS RĖMIMAS VISUOMENĖS SVEIKATOS RĖMIMO SPECIALIOSIOS PROGRAMOS LĖŠOMIS</w:t>
      </w:r>
    </w:p>
    <w:p w:rsidR="000744C2" w:rsidRPr="006C2551" w:rsidRDefault="000744C2" w:rsidP="000744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85"/>
        <w:gridCol w:w="2551"/>
        <w:gridCol w:w="4202"/>
      </w:tblGrid>
      <w:tr w:rsidR="000744C2" w:rsidRPr="006C2551" w:rsidTr="000E40AF">
        <w:trPr>
          <w:trHeight w:val="433"/>
          <w:jc w:val="center"/>
        </w:trPr>
        <w:tc>
          <w:tcPr>
            <w:tcW w:w="518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E40A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Eil.Nr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programų sritys</w:t>
            </w:r>
          </w:p>
        </w:tc>
        <w:tc>
          <w:tcPr>
            <w:tcW w:w="2551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bendruomenės tikslinių grupių apibūdinimas</w:t>
            </w:r>
          </w:p>
        </w:tc>
        <w:tc>
          <w:tcPr>
            <w:tcW w:w="4202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bendruomenės tikslinių grupių gautos naudos apibūdinimas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202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Užkrečiamųjų ligų profilaktikos kontrolės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Tuberkuliozės profilaktikos ir kontrolės programos tikslinės grupės: naujagimiai ir kūdikiai, 7 metų amžiaus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ir rizikos grupės vaikai bei socialinės rizikos grupei priklausantys, nedrausti PSDF lėšomis, asmenys.</w:t>
            </w:r>
          </w:p>
        </w:tc>
        <w:tc>
          <w:tcPr>
            <w:tcW w:w="4202" w:type="dxa"/>
          </w:tcPr>
          <w:p w:rsidR="000744C2" w:rsidRPr="006C2551" w:rsidRDefault="000744C2" w:rsidP="002478F2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Už skirtas lėšas nupirktas tuberkulinas, neturintys socialinio draudimo asmenys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tirti dėl tuberkuli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ozės. BCG vakcina paskiepyti 254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A1357">
              <w:rPr>
                <w:rFonts w:ascii="Times New Roman" w:eastAsia="Times New Roman" w:hAnsi="Times New Roman" w:cs="Times New Roman"/>
                <w:lang w:eastAsia="lt-LT"/>
              </w:rPr>
              <w:t>naujagimiai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. Atlikti 584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tuberkulino mėginiai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7 m. amž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iaus ir rizikos grupės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v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aikams. </w:t>
            </w:r>
            <w:proofErr w:type="spellStart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Infekuotumas</w:t>
            </w:r>
            <w:proofErr w:type="spellEnd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 įtartas 46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vaikams, kurie nukreipti ftiziatro konsultacijai. 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Ankstyvos tuberkuliozės vaikų grupėje neišaiškinta.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Dėl TB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C </w:t>
            </w:r>
            <w:proofErr w:type="spellStart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="00EC01A3">
              <w:rPr>
                <w:rFonts w:ascii="Times New Roman" w:eastAsia="Times New Roman" w:hAnsi="Times New Roman" w:cs="Times New Roman"/>
                <w:lang w:eastAsia="lt-LT"/>
              </w:rPr>
              <w:t>engenologiškai</w:t>
            </w:r>
            <w:proofErr w:type="spellEnd"/>
            <w:r w:rsidR="00EC01A3">
              <w:rPr>
                <w:rFonts w:ascii="Times New Roman" w:eastAsia="Times New Roman" w:hAnsi="Times New Roman" w:cs="Times New Roman"/>
                <w:lang w:eastAsia="lt-LT"/>
              </w:rPr>
              <w:t xml:space="preserve"> patikrinti 11831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 pacientas. 9 pacientai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nukreiptų ftiziatro konsultacijai dėl įtartos tuberkuliozės.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Psichikos sveikatos stiprinimo, savižudybių ir smurto prevencijos</w:t>
            </w:r>
          </w:p>
        </w:tc>
        <w:tc>
          <w:tcPr>
            <w:tcW w:w="2551" w:type="dxa"/>
          </w:tcPr>
          <w:p w:rsidR="000744C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Programoje dalyvavo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mokiniai,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socialiniai darbuotojai, mokyklų visuomenės sveikatos specialistai, socialiniai p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edagogai, psichologai, pedagogai, gydytojai,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tėvai.</w:t>
            </w:r>
          </w:p>
        </w:tc>
        <w:tc>
          <w:tcPr>
            <w:tcW w:w="4202" w:type="dxa"/>
          </w:tcPr>
          <w:p w:rsidR="000744C2" w:rsidRPr="00EF0A7E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Lėšos panaudotos sumokėti lektoriams už  teorinių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 praktinių seminarų                                 ciklą surengtą pagal sutartis:</w:t>
            </w:r>
          </w:p>
          <w:p w:rsidR="000744C2" w:rsidRPr="00EF0A7E" w:rsidRDefault="000744C2" w:rsidP="006C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Seminarų temos: </w:t>
            </w:r>
            <w:r w:rsidR="002478F2">
              <w:rPr>
                <w:rFonts w:ascii="Times New Roman" w:eastAsia="Times New Roman" w:hAnsi="Times New Roman" w:cs="Times New Roman"/>
                <w:kern w:val="16"/>
                <w:lang w:eastAsia="lt-LT"/>
              </w:rPr>
              <w:t>„Konfliktų sprendimas kitaip</w:t>
            </w:r>
            <w:r>
              <w:rPr>
                <w:rFonts w:ascii="Times New Roman" w:eastAsia="Times New Roman" w:hAnsi="Times New Roman" w:cs="Times New Roman"/>
                <w:bCs/>
                <w:kern w:val="16"/>
                <w:lang w:eastAsia="lt-LT"/>
              </w:rPr>
              <w:t>“.</w:t>
            </w:r>
            <w:r w:rsidR="006C3505">
              <w:rPr>
                <w:rFonts w:ascii="Times New Roman" w:eastAsia="Times New Roman" w:hAnsi="Times New Roman" w:cs="Times New Roman"/>
                <w:bCs/>
                <w:kern w:val="16"/>
                <w:lang w:eastAsia="lt-LT"/>
              </w:rPr>
              <w:t xml:space="preserve"> 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Dalyvių skaičius </w:t>
            </w:r>
            <w:r w:rsidR="006C3505">
              <w:rPr>
                <w:rFonts w:ascii="Times New Roman" w:eastAsia="Times New Roman" w:hAnsi="Times New Roman" w:cs="Times New Roman"/>
                <w:lang w:eastAsia="lt-LT"/>
              </w:rPr>
              <w:t>– 668 mokiniai.</w:t>
            </w:r>
          </w:p>
          <w:p w:rsidR="000744C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>Seminarai vyko penkiose rajono mokyklose.</w:t>
            </w:r>
          </w:p>
          <w:p w:rsidR="000744C2" w:rsidRDefault="006C3505" w:rsidP="00BC50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Seminaruose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 xml:space="preserve"> „Šiuolaikinės streso valdymo metodikos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ir „Modernus požiūris į stresą  ir jo valdymą“ 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specialistams, dirbanti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ems su rizikos grupės asmenimis dalyvavo 164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 xml:space="preserve"> asmenys. </w:t>
            </w:r>
          </w:p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Vaikų ir jaunimo sveikatos išsaugojimo ir stiprinimo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Programoje dalyvavo vaikai ir paaugliai.</w:t>
            </w:r>
          </w:p>
        </w:tc>
        <w:tc>
          <w:tcPr>
            <w:tcW w:w="4202" w:type="dxa"/>
          </w:tcPr>
          <w:p w:rsidR="000744C2" w:rsidRPr="006C2551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Lėšos panaudotos vaikų ir moksleivių fizinio aktyvumo didinimo tęstinėms programoms: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Mokinių tinklinio populiarinimui ir Plaukimo mokyklėlei</w:t>
            </w:r>
          </w:p>
          <w:p w:rsidR="000744C2" w:rsidRPr="006C2551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Plaukimo mokyklėlėje p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laukti m</w:t>
            </w:r>
            <w:r w:rsidR="007208BD">
              <w:rPr>
                <w:rFonts w:ascii="Times New Roman" w:eastAsia="Times New Roman" w:hAnsi="Times New Roman" w:cs="Times New Roman"/>
                <w:lang w:eastAsia="lt-LT"/>
              </w:rPr>
              <w:t>okėsi 170 vaikų (58 vaikai - vasarą Kretingos dvaro I tvenkinyje, o vasario –kovo mėnesiais 112 vaikų baseine).</w:t>
            </w:r>
          </w:p>
          <w:p w:rsidR="000744C2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nklinio programoje dalyvavo per 120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moksleivių.</w:t>
            </w:r>
          </w:p>
          <w:p w:rsidR="000744C2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„Asmens higienos įgūdžių sti</w:t>
            </w:r>
            <w:r w:rsidR="000E40AF">
              <w:rPr>
                <w:rFonts w:ascii="Times New Roman" w:eastAsia="Times New Roman" w:hAnsi="Times New Roman" w:cs="Times New Roman"/>
                <w:lang w:eastAsia="lt-LT"/>
              </w:rPr>
              <w:t>prinimo“ programoje dalyvavo 310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mokinių</w:t>
            </w:r>
          </w:p>
          <w:p w:rsidR="000744C2" w:rsidRPr="006C2551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„Burnos higienos įgūdžių</w:t>
            </w:r>
            <w:r w:rsidR="000E40AF">
              <w:rPr>
                <w:rFonts w:ascii="Times New Roman" w:eastAsia="Times New Roman" w:hAnsi="Times New Roman" w:cs="Times New Roman"/>
                <w:lang w:eastAsia="lt-LT"/>
              </w:rPr>
              <w:t xml:space="preserve"> ugdymo“ programoje dalyvavo 799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vaikų.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Suaugusiųjų fizinio aktyvumo programos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suaugusieji</w:t>
            </w:r>
          </w:p>
        </w:tc>
        <w:tc>
          <w:tcPr>
            <w:tcW w:w="4202" w:type="dxa"/>
          </w:tcPr>
          <w:p w:rsidR="000744C2" w:rsidRPr="006C2551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Lėšos panaudotos įsigyti mankštos priemonėms ir</w:t>
            </w:r>
            <w:r w:rsidR="000E40AF">
              <w:rPr>
                <w:rFonts w:ascii="Times New Roman" w:eastAsia="Times New Roman" w:hAnsi="Times New Roman" w:cs="Times New Roman"/>
                <w:lang w:eastAsia="lt-LT"/>
              </w:rPr>
              <w:t xml:space="preserve"> trenerio paslaugoms Salantų ir Darbėnų  gyvenvietėse apmokėti. Programose dalyvavo 402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asmenys.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Gyvenamosios aplinkos sveikatinimo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gyventojai.</w:t>
            </w:r>
          </w:p>
        </w:tc>
        <w:tc>
          <w:tcPr>
            <w:tcW w:w="4202" w:type="dxa"/>
          </w:tcPr>
          <w:p w:rsidR="000744C2" w:rsidRPr="006C2551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Vasaros sezono metu atlikti maudyklų vandens kokybės tyrimai, kad  būtų užtikrintas saugus gyventojų poilsis prie vande</w:t>
            </w:r>
            <w:r w:rsidR="000E40AF">
              <w:rPr>
                <w:rFonts w:ascii="Times New Roman" w:eastAsia="Times New Roman" w:hAnsi="Times New Roman" w:cs="Times New Roman"/>
                <w:lang w:eastAsia="lt-LT"/>
              </w:rPr>
              <w:t>ns. Ištirta 24 vandens mėginių šeš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iuose vandens telkiniuose. Tyrimų rezultatai paskelbti spaudoje ir Savivaldybės interneto svetainėje.</w:t>
            </w:r>
          </w:p>
          <w:p w:rsidR="000744C2" w:rsidRPr="006C2551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Triukšmo prevencijos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</w:t>
            </w:r>
          </w:p>
        </w:tc>
        <w:tc>
          <w:tcPr>
            <w:tcW w:w="4202" w:type="dxa"/>
          </w:tcPr>
          <w:p w:rsidR="000744C2" w:rsidRPr="006C2551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Atlikti 24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triukšmo lygio matavimai Kretingos rajone jautriose akustiniam triukšmui vietose</w:t>
            </w:r>
            <w:r w:rsidR="000E40AF">
              <w:rPr>
                <w:rFonts w:ascii="Times New Roman" w:eastAsia="Times New Roman" w:hAnsi="Times New Roman" w:cs="Times New Roman"/>
                <w:lang w:eastAsia="lt-LT"/>
              </w:rPr>
              <w:t xml:space="preserve"> (triukšmo prevencijos zonose)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 Apie tyrimų rezultatus informac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ija paskelbta rajono spaudoje, S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avivaldybės interneto svetainėje.</w:t>
            </w:r>
          </w:p>
        </w:tc>
      </w:tr>
    </w:tbl>
    <w:p w:rsidR="000744C2" w:rsidRPr="00C83F42" w:rsidRDefault="000744C2" w:rsidP="00074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:rsidR="00E14BDD" w:rsidRDefault="00C97814" w:rsidP="00F6790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814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bookmarkStart w:id="0" w:name="_GoBack"/>
      <w:bookmarkEnd w:id="0"/>
    </w:p>
    <w:sectPr w:rsidR="00E14BD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D6" w:rsidRDefault="001B17D6">
      <w:pPr>
        <w:spacing w:after="0" w:line="240" w:lineRule="auto"/>
      </w:pPr>
      <w:r>
        <w:separator/>
      </w:r>
    </w:p>
  </w:endnote>
  <w:endnote w:type="continuationSeparator" w:id="0">
    <w:p w:rsidR="001B17D6" w:rsidRDefault="001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D6" w:rsidRDefault="001B17D6">
      <w:pPr>
        <w:spacing w:after="0" w:line="240" w:lineRule="auto"/>
      </w:pPr>
      <w:r>
        <w:separator/>
      </w:r>
    </w:p>
  </w:footnote>
  <w:footnote w:type="continuationSeparator" w:id="0">
    <w:p w:rsidR="001B17D6" w:rsidRDefault="001B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2" w:rsidRPr="007321EE" w:rsidRDefault="007321EE" w:rsidP="009F50B2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993"/>
    <w:multiLevelType w:val="hybridMultilevel"/>
    <w:tmpl w:val="90D26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D0FC1"/>
    <w:multiLevelType w:val="hybridMultilevel"/>
    <w:tmpl w:val="6358B5B4"/>
    <w:lvl w:ilvl="0" w:tplc="1CFC427E">
      <w:start w:val="2017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D4"/>
    <w:rsid w:val="00002539"/>
    <w:rsid w:val="000045CC"/>
    <w:rsid w:val="000374DF"/>
    <w:rsid w:val="000503F1"/>
    <w:rsid w:val="00052BEE"/>
    <w:rsid w:val="000744C2"/>
    <w:rsid w:val="000C3E97"/>
    <w:rsid w:val="000D4730"/>
    <w:rsid w:val="000E40AF"/>
    <w:rsid w:val="000E736B"/>
    <w:rsid w:val="000E7B72"/>
    <w:rsid w:val="001510AD"/>
    <w:rsid w:val="00156E65"/>
    <w:rsid w:val="001B17D6"/>
    <w:rsid w:val="001D44FC"/>
    <w:rsid w:val="001E6A28"/>
    <w:rsid w:val="001E7DCC"/>
    <w:rsid w:val="00201A38"/>
    <w:rsid w:val="00202D79"/>
    <w:rsid w:val="00205B80"/>
    <w:rsid w:val="002478F2"/>
    <w:rsid w:val="002A7931"/>
    <w:rsid w:val="002C6D5E"/>
    <w:rsid w:val="002D7337"/>
    <w:rsid w:val="002F34EB"/>
    <w:rsid w:val="003752E4"/>
    <w:rsid w:val="00384E02"/>
    <w:rsid w:val="003A1727"/>
    <w:rsid w:val="003A5C6B"/>
    <w:rsid w:val="003C6620"/>
    <w:rsid w:val="004009F9"/>
    <w:rsid w:val="004134D7"/>
    <w:rsid w:val="00432286"/>
    <w:rsid w:val="004377C7"/>
    <w:rsid w:val="0045313F"/>
    <w:rsid w:val="004559EF"/>
    <w:rsid w:val="00482266"/>
    <w:rsid w:val="004822A1"/>
    <w:rsid w:val="004858E4"/>
    <w:rsid w:val="00486E74"/>
    <w:rsid w:val="00487B02"/>
    <w:rsid w:val="004B4796"/>
    <w:rsid w:val="004C407B"/>
    <w:rsid w:val="004C54C3"/>
    <w:rsid w:val="004D5B34"/>
    <w:rsid w:val="004E4F57"/>
    <w:rsid w:val="004E6443"/>
    <w:rsid w:val="004F3F8C"/>
    <w:rsid w:val="004F539B"/>
    <w:rsid w:val="00502A4C"/>
    <w:rsid w:val="00513E8C"/>
    <w:rsid w:val="005227D4"/>
    <w:rsid w:val="00534EF3"/>
    <w:rsid w:val="005745FA"/>
    <w:rsid w:val="005A4F20"/>
    <w:rsid w:val="005E22AC"/>
    <w:rsid w:val="005F7746"/>
    <w:rsid w:val="0061321A"/>
    <w:rsid w:val="00617C92"/>
    <w:rsid w:val="00650D40"/>
    <w:rsid w:val="0065321E"/>
    <w:rsid w:val="006763FA"/>
    <w:rsid w:val="006A0D61"/>
    <w:rsid w:val="006A1E95"/>
    <w:rsid w:val="006A7E62"/>
    <w:rsid w:val="006B139F"/>
    <w:rsid w:val="006C3505"/>
    <w:rsid w:val="006E6A86"/>
    <w:rsid w:val="007208BD"/>
    <w:rsid w:val="00721ABF"/>
    <w:rsid w:val="007321EE"/>
    <w:rsid w:val="007740D2"/>
    <w:rsid w:val="0079098E"/>
    <w:rsid w:val="007909F0"/>
    <w:rsid w:val="007920DE"/>
    <w:rsid w:val="007F563C"/>
    <w:rsid w:val="00804688"/>
    <w:rsid w:val="0083781C"/>
    <w:rsid w:val="00843103"/>
    <w:rsid w:val="008607A1"/>
    <w:rsid w:val="008D1428"/>
    <w:rsid w:val="008E1D31"/>
    <w:rsid w:val="008F060C"/>
    <w:rsid w:val="00916D94"/>
    <w:rsid w:val="00966D73"/>
    <w:rsid w:val="0097707C"/>
    <w:rsid w:val="009B0322"/>
    <w:rsid w:val="009C2080"/>
    <w:rsid w:val="009C3619"/>
    <w:rsid w:val="009F7265"/>
    <w:rsid w:val="00A332FE"/>
    <w:rsid w:val="00A3771C"/>
    <w:rsid w:val="00A73E48"/>
    <w:rsid w:val="00AB49EF"/>
    <w:rsid w:val="00AF5E9A"/>
    <w:rsid w:val="00B07FC1"/>
    <w:rsid w:val="00B123E1"/>
    <w:rsid w:val="00BB74F6"/>
    <w:rsid w:val="00BD1A4E"/>
    <w:rsid w:val="00BE0880"/>
    <w:rsid w:val="00C12790"/>
    <w:rsid w:val="00C1506B"/>
    <w:rsid w:val="00C63FA5"/>
    <w:rsid w:val="00C67A1C"/>
    <w:rsid w:val="00C72713"/>
    <w:rsid w:val="00C81A2C"/>
    <w:rsid w:val="00C97814"/>
    <w:rsid w:val="00CF2E7A"/>
    <w:rsid w:val="00D433F6"/>
    <w:rsid w:val="00D579B1"/>
    <w:rsid w:val="00D60111"/>
    <w:rsid w:val="00D65950"/>
    <w:rsid w:val="00D877AF"/>
    <w:rsid w:val="00E11628"/>
    <w:rsid w:val="00E14BDD"/>
    <w:rsid w:val="00E50BE9"/>
    <w:rsid w:val="00E66443"/>
    <w:rsid w:val="00E72946"/>
    <w:rsid w:val="00E876C8"/>
    <w:rsid w:val="00EA7FE5"/>
    <w:rsid w:val="00EC01A3"/>
    <w:rsid w:val="00F11E8D"/>
    <w:rsid w:val="00F12F50"/>
    <w:rsid w:val="00F51DCC"/>
    <w:rsid w:val="00F6326B"/>
    <w:rsid w:val="00F6790F"/>
    <w:rsid w:val="00F92443"/>
    <w:rsid w:val="00FA6276"/>
    <w:rsid w:val="00F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33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3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33F6"/>
  </w:style>
  <w:style w:type="paragraph" w:styleId="Sraopastraipa">
    <w:name w:val="List Paragraph"/>
    <w:basedOn w:val="prastasis"/>
    <w:uiPriority w:val="34"/>
    <w:qFormat/>
    <w:rsid w:val="00D433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1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F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33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3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33F6"/>
  </w:style>
  <w:style w:type="paragraph" w:styleId="Sraopastraipa">
    <w:name w:val="List Paragraph"/>
    <w:basedOn w:val="prastasis"/>
    <w:uiPriority w:val="34"/>
    <w:qFormat/>
    <w:rsid w:val="00D433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1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F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3612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9</cp:revision>
  <cp:lastPrinted>2018-03-22T12:17:00Z</cp:lastPrinted>
  <dcterms:created xsi:type="dcterms:W3CDTF">2018-03-22T11:19:00Z</dcterms:created>
  <dcterms:modified xsi:type="dcterms:W3CDTF">2018-04-03T11:05:00Z</dcterms:modified>
</cp:coreProperties>
</file>