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41" w:rsidRDefault="00DD2141" w:rsidP="00834D25">
      <w:pPr>
        <w:jc w:val="center"/>
        <w:rPr>
          <w:lang w:val="lt-LT"/>
        </w:rPr>
      </w:pPr>
      <w:r>
        <w:rPr>
          <w:lang w:val="lt-LT"/>
        </w:rPr>
        <w:t xml:space="preserve">                   </w:t>
      </w:r>
      <w:r w:rsidR="00834D25">
        <w:rPr>
          <w:lang w:val="lt-LT"/>
        </w:rPr>
        <w:t xml:space="preserve">                                                                                                                                                           </w:t>
      </w:r>
      <w:r>
        <w:rPr>
          <w:lang w:val="lt-LT"/>
        </w:rPr>
        <w:t xml:space="preserve">   </w:t>
      </w:r>
      <w:r w:rsidR="00834D25">
        <w:rPr>
          <w:lang w:val="lt-LT"/>
        </w:rPr>
        <w:t xml:space="preserve">          </w:t>
      </w:r>
      <w:r>
        <w:rPr>
          <w:lang w:val="lt-LT"/>
        </w:rPr>
        <w:t xml:space="preserve">  Forma patvirtinta Lietuvos Respublikos </w:t>
      </w:r>
    </w:p>
    <w:p w:rsidR="00DD2141" w:rsidRDefault="00DD2141" w:rsidP="00DD2141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kultūros ministro </w:t>
      </w:r>
      <w:smartTag w:uri="urn:schemas-microsoft-com:office:smarttags" w:element="metricconverter">
        <w:smartTagPr>
          <w:attr w:name="ProductID" w:val="2009 m"/>
        </w:smartTagPr>
        <w:r>
          <w:rPr>
            <w:lang w:val="lt-LT"/>
          </w:rPr>
          <w:t>2009 m</w:t>
        </w:r>
      </w:smartTag>
      <w:r>
        <w:rPr>
          <w:lang w:val="lt-LT"/>
        </w:rPr>
        <w:t>. sausio 15 d.</w:t>
      </w:r>
    </w:p>
    <w:p w:rsidR="00DD2141" w:rsidRDefault="00834D25" w:rsidP="00DD2141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DD2141">
        <w:rPr>
          <w:lang w:val="lt-LT"/>
        </w:rPr>
        <w:tab/>
      </w:r>
      <w:r w:rsidR="00DD2141">
        <w:rPr>
          <w:lang w:val="lt-LT"/>
        </w:rPr>
        <w:tab/>
        <w:t xml:space="preserve"> įsakymu Nr. ĮV-12</w:t>
      </w:r>
    </w:p>
    <w:p w:rsidR="00DD2141" w:rsidRDefault="00DD2141" w:rsidP="00DD2141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(Lietuvos Respublikos  kultūros ministro </w:t>
      </w:r>
      <w:smartTag w:uri="urn:schemas-microsoft-com:office:smarttags" w:element="metricconverter">
        <w:smartTagPr>
          <w:attr w:name="ProductID" w:val="2010 m"/>
        </w:smartTagPr>
        <w:r>
          <w:rPr>
            <w:lang w:val="lt-LT"/>
          </w:rPr>
          <w:t>2010 m</w:t>
        </w:r>
      </w:smartTag>
      <w:r w:rsidR="00834D25">
        <w:rPr>
          <w:lang w:val="lt-LT"/>
        </w:rPr>
        <w:t xml:space="preserve">. </w:t>
      </w:r>
      <w:r w:rsidR="00834D25">
        <w:rPr>
          <w:lang w:val="lt-LT"/>
        </w:rPr>
        <w:tab/>
      </w:r>
      <w:r w:rsidR="00834D25">
        <w:rPr>
          <w:lang w:val="lt-LT"/>
        </w:rPr>
        <w:tab/>
      </w:r>
      <w:r w:rsidR="00834D25">
        <w:rPr>
          <w:lang w:val="lt-LT"/>
        </w:rPr>
        <w:tab/>
      </w:r>
      <w:r w:rsidR="00834D25">
        <w:rPr>
          <w:lang w:val="lt-LT"/>
        </w:rPr>
        <w:tab/>
      </w:r>
      <w:r w:rsidR="00834D25">
        <w:rPr>
          <w:lang w:val="lt-LT"/>
        </w:rPr>
        <w:tab/>
      </w:r>
      <w:r w:rsidR="00834D25">
        <w:rPr>
          <w:lang w:val="lt-LT"/>
        </w:rPr>
        <w:tab/>
      </w:r>
      <w:r w:rsidR="00834D25">
        <w:rPr>
          <w:lang w:val="lt-LT"/>
        </w:rPr>
        <w:tab/>
        <w:t xml:space="preserve">             </w:t>
      </w:r>
      <w:bookmarkStart w:id="0" w:name="_GoBack"/>
      <w:bookmarkEnd w:id="0"/>
      <w:r>
        <w:rPr>
          <w:lang w:val="lt-LT"/>
        </w:rPr>
        <w:t>sausio 12 d. įsakymo Nr. ĮV-17 redakcija)</w:t>
      </w:r>
    </w:p>
    <w:p w:rsidR="00834D25" w:rsidRDefault="00834D25" w:rsidP="00834D2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</w:t>
      </w:r>
    </w:p>
    <w:p w:rsidR="00834D25" w:rsidRPr="008E7958" w:rsidRDefault="00834D25" w:rsidP="00834D2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</w:t>
      </w:r>
      <w:r w:rsidR="00676634">
        <w:rPr>
          <w:sz w:val="24"/>
          <w:szCs w:val="24"/>
          <w:lang w:val="lt-LT"/>
        </w:rPr>
        <w:t xml:space="preserve">      </w:t>
      </w:r>
      <w:r w:rsidRPr="008E7958">
        <w:rPr>
          <w:sz w:val="24"/>
          <w:szCs w:val="24"/>
          <w:lang w:val="lt-LT"/>
        </w:rPr>
        <w:t>PATVIRTINTA</w:t>
      </w:r>
    </w:p>
    <w:p w:rsidR="00834D25" w:rsidRPr="008E7958" w:rsidRDefault="00834D25" w:rsidP="00834D25">
      <w:pPr>
        <w:ind w:left="93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676634">
        <w:rPr>
          <w:sz w:val="24"/>
          <w:szCs w:val="24"/>
          <w:lang w:val="lt-LT"/>
        </w:rPr>
        <w:t xml:space="preserve">   </w:t>
      </w:r>
      <w:r w:rsidRPr="008E7958">
        <w:rPr>
          <w:sz w:val="24"/>
          <w:szCs w:val="24"/>
          <w:lang w:val="lt-LT"/>
        </w:rPr>
        <w:t>Kretingos rajono savivaldybės tarybos</w:t>
      </w:r>
    </w:p>
    <w:p w:rsidR="00834D25" w:rsidRPr="008E7958" w:rsidRDefault="00834D25" w:rsidP="00834D25">
      <w:pPr>
        <w:ind w:left="93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676634">
        <w:rPr>
          <w:sz w:val="24"/>
          <w:szCs w:val="24"/>
          <w:lang w:val="lt-LT"/>
        </w:rPr>
        <w:t xml:space="preserve">   </w:t>
      </w:r>
      <w:r w:rsidRPr="008E7958">
        <w:rPr>
          <w:sz w:val="24"/>
          <w:szCs w:val="24"/>
          <w:lang w:val="lt-LT"/>
        </w:rPr>
        <w:t xml:space="preserve">2014 m. vasario </w:t>
      </w:r>
      <w:r>
        <w:rPr>
          <w:sz w:val="24"/>
          <w:szCs w:val="24"/>
          <w:lang w:val="lt-LT"/>
        </w:rPr>
        <w:t xml:space="preserve">27 </w:t>
      </w:r>
      <w:r w:rsidRPr="008E7958">
        <w:rPr>
          <w:sz w:val="24"/>
          <w:szCs w:val="24"/>
          <w:lang w:val="lt-LT"/>
        </w:rPr>
        <w:t>d. sprendimu Nr.T2-</w:t>
      </w:r>
      <w:r w:rsidR="00C36D73">
        <w:rPr>
          <w:sz w:val="24"/>
          <w:szCs w:val="24"/>
          <w:lang w:val="lt-LT"/>
        </w:rPr>
        <w:t>62</w:t>
      </w:r>
    </w:p>
    <w:p w:rsidR="00834D25" w:rsidRDefault="00834D25" w:rsidP="00DD2141">
      <w:pPr>
        <w:jc w:val="center"/>
        <w:rPr>
          <w:lang w:val="lt-LT"/>
        </w:rPr>
      </w:pPr>
    </w:p>
    <w:p w:rsidR="00834D25" w:rsidRDefault="00834D25" w:rsidP="00DD2141">
      <w:pPr>
        <w:jc w:val="center"/>
        <w:rPr>
          <w:lang w:val="lt-LT"/>
        </w:rPr>
      </w:pPr>
    </w:p>
    <w:p w:rsidR="00DD2141" w:rsidRPr="00A702A2" w:rsidRDefault="00DD2141" w:rsidP="00DD2141">
      <w:pPr>
        <w:jc w:val="center"/>
        <w:outlineLvl w:val="0"/>
        <w:rPr>
          <w:b/>
          <w:sz w:val="24"/>
          <w:szCs w:val="24"/>
          <w:lang w:val="lt-LT"/>
        </w:rPr>
      </w:pPr>
      <w:r w:rsidRPr="00A702A2">
        <w:rPr>
          <w:b/>
          <w:sz w:val="24"/>
          <w:szCs w:val="24"/>
          <w:lang w:val="lt-LT"/>
        </w:rPr>
        <w:t>VYSKUPO MOTIEJAUS VALANČIAUS GIMTINĖS MUZIEJAUS</w:t>
      </w:r>
    </w:p>
    <w:p w:rsidR="00DD2141" w:rsidRPr="00A702A2" w:rsidRDefault="00DD2141" w:rsidP="00DD2141">
      <w:pPr>
        <w:jc w:val="center"/>
        <w:outlineLvl w:val="0"/>
        <w:rPr>
          <w:b/>
          <w:sz w:val="24"/>
          <w:szCs w:val="24"/>
          <w:lang w:val="lt-LT"/>
        </w:rPr>
      </w:pPr>
      <w:r w:rsidRPr="00A702A2">
        <w:rPr>
          <w:b/>
          <w:sz w:val="24"/>
          <w:szCs w:val="24"/>
          <w:lang w:val="lt-LT"/>
        </w:rPr>
        <w:t>2014 M. VEIKLOS PLANAS</w:t>
      </w:r>
    </w:p>
    <w:p w:rsidR="00DD2141" w:rsidRDefault="00DD2141" w:rsidP="00DD2141">
      <w:pPr>
        <w:jc w:val="center"/>
        <w:rPr>
          <w:b/>
          <w:sz w:val="24"/>
          <w:szCs w:val="24"/>
          <w:lang w:val="lt-LT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8788"/>
        <w:gridCol w:w="1134"/>
        <w:gridCol w:w="1418"/>
      </w:tblGrid>
      <w:tr w:rsidR="00DD2141" w:rsidRPr="00C107A1" w:rsidTr="00AE038B">
        <w:trPr>
          <w:trHeight w:val="401"/>
        </w:trPr>
        <w:tc>
          <w:tcPr>
            <w:tcW w:w="4112" w:type="dxa"/>
            <w:shd w:val="clear" w:color="auto" w:fill="auto"/>
          </w:tcPr>
          <w:p w:rsidR="00DD2141" w:rsidRPr="00C107A1" w:rsidRDefault="00DD2141" w:rsidP="00AE038B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107A1">
              <w:rPr>
                <w:b/>
                <w:sz w:val="24"/>
                <w:szCs w:val="24"/>
                <w:lang w:val="lt-LT"/>
              </w:rPr>
              <w:t>Veiklos sritis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107A1">
              <w:rPr>
                <w:b/>
                <w:sz w:val="24"/>
                <w:szCs w:val="24"/>
                <w:lang w:val="lt-LT"/>
              </w:rPr>
              <w:t>Planuojama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107A1">
              <w:rPr>
                <w:b/>
                <w:sz w:val="24"/>
                <w:szCs w:val="24"/>
                <w:lang w:val="lt-LT"/>
              </w:rPr>
              <w:t>Įgyvendinimo terminai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b/>
                <w:sz w:val="24"/>
                <w:szCs w:val="24"/>
                <w:lang w:val="lt-LT"/>
              </w:rPr>
            </w:pPr>
            <w:r w:rsidRPr="00C107A1">
              <w:rPr>
                <w:b/>
                <w:sz w:val="24"/>
                <w:szCs w:val="24"/>
                <w:lang w:val="lt-LT"/>
              </w:rPr>
              <w:t>Atsakingi asmenys</w:t>
            </w:r>
          </w:p>
        </w:tc>
      </w:tr>
      <w:tr w:rsidR="00DD2141" w:rsidRPr="00C107A1" w:rsidTr="00AE038B">
        <w:trPr>
          <w:trHeight w:val="323"/>
        </w:trPr>
        <w:tc>
          <w:tcPr>
            <w:tcW w:w="4112" w:type="dxa"/>
            <w:shd w:val="clear" w:color="auto" w:fill="auto"/>
          </w:tcPr>
          <w:p w:rsidR="00DD2141" w:rsidRPr="00C107A1" w:rsidRDefault="00DD2141" w:rsidP="00AE038B">
            <w:pPr>
              <w:rPr>
                <w:lang w:val="lt-LT"/>
              </w:rPr>
            </w:pPr>
            <w:r w:rsidRPr="00C107A1">
              <w:rPr>
                <w:lang w:val="lt-LT"/>
              </w:rPr>
              <w:t>I. ADMINISTRACINĖ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5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Muziejaus tarybos darbas (numatomas posėdžių skaičius ir svarstytini klausimai)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du Vyskupo Motiejaus Valančiaus gimtinės muziejaus (toliau – Muziejus) tarybos posėdžius. Posėdžiuose svarstyti klausimus: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Dėl Muziejaus 2013 m.  veiklos ataskaitos ir 2014 m.  veiklos plano tvirtinimo.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Dėl bendradarbiavimo su rajono ugdymo ir kultūros įstaigomis, Kretingos turizmo informacijos centru  plėtros, bendrų veiklos projektų 2015 m. 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. 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5865DD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15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2.Muziejaus vidaus darbo tvarką reguliuojančių dokumentų rengimas</w:t>
            </w:r>
          </w:p>
        </w:tc>
        <w:tc>
          <w:tcPr>
            <w:tcW w:w="8788" w:type="dxa"/>
            <w:shd w:val="clear" w:color="auto" w:fill="auto"/>
          </w:tcPr>
          <w:p w:rsidR="00DD2141" w:rsidRPr="00BF1954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Vadovaujantis  LR Vyriausybės nutarimais, kitais teisės aktais, Kretingos rajono savivaldybės tarybos priimtais sprendimais, rajono savivaldybės mero potvarkiais, rajono Savivaldybės administrac</w:t>
            </w:r>
            <w:r>
              <w:rPr>
                <w:sz w:val="24"/>
                <w:szCs w:val="24"/>
                <w:lang w:val="lt-LT"/>
              </w:rPr>
              <w:t>ijos direktoriaus įsakymais, pagal poreikį rengti Muziejaus vidaus darbo tvarką reguliuojančius dokumentus.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5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 Sutarčių su Lietuvos ir užsienio organizacijomis rengimas</w:t>
            </w:r>
          </w:p>
        </w:tc>
        <w:tc>
          <w:tcPr>
            <w:tcW w:w="8788" w:type="dxa"/>
            <w:shd w:val="clear" w:color="auto" w:fill="auto"/>
          </w:tcPr>
          <w:p w:rsidR="00DD2141" w:rsidRPr="00B01EA6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B01EA6">
              <w:rPr>
                <w:sz w:val="24"/>
                <w:szCs w:val="24"/>
                <w:lang w:val="lt-LT"/>
              </w:rPr>
              <w:t xml:space="preserve">Pasirašyti bendradarbiavimo sutartį su Lietuvos dailės muziejumi </w:t>
            </w:r>
            <w:r>
              <w:rPr>
                <w:sz w:val="24"/>
                <w:szCs w:val="24"/>
                <w:lang w:val="lt-LT"/>
              </w:rPr>
              <w:t>dėl projekto</w:t>
            </w:r>
            <w:r w:rsidRPr="00B01EA6">
              <w:rPr>
                <w:sz w:val="24"/>
                <w:szCs w:val="24"/>
                <w:lang w:val="lt-LT"/>
              </w:rPr>
              <w:t xml:space="preserve"> „Lietuvos integralios muziejų informacinės sistemos įdiegimas į Lietuvos muziejus“ (projekto kodas VP2-3.1-IVPK-04-V-01-005)</w:t>
            </w:r>
            <w:r>
              <w:rPr>
                <w:sz w:val="24"/>
                <w:szCs w:val="24"/>
                <w:lang w:val="lt-LT"/>
              </w:rPr>
              <w:t xml:space="preserve"> įgyvendinimo.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Pasirašyti bendradarbiavimo sutartį su Kretingos turizmo informacijos centru.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516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4. Projektinė veikla (projekto pavadinimas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kokiems fondams teiktos paraiškos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koks gautas finansavimas)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Įgyvendinti 2 projektus, iš dalies finansuojamus iš </w:t>
            </w:r>
            <w:r w:rsidRPr="00C107A1">
              <w:rPr>
                <w:sz w:val="24"/>
                <w:szCs w:val="24"/>
                <w:lang w:val="lt-LT"/>
              </w:rPr>
              <w:t>Kretingos rajono savivaldybės Kultūrinės veiklos programo</w:t>
            </w:r>
            <w:r>
              <w:rPr>
                <w:sz w:val="24"/>
                <w:szCs w:val="24"/>
                <w:lang w:val="lt-LT"/>
              </w:rPr>
              <w:t>s</w:t>
            </w:r>
            <w:r w:rsidRPr="00C107A1">
              <w:rPr>
                <w:sz w:val="24"/>
                <w:szCs w:val="24"/>
                <w:lang w:val="lt-LT"/>
              </w:rPr>
              <w:t xml:space="preserve">: 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1. Vaikų ir jaunimo edukacinį tęstinį  projektą ,,Audimo mokyklėlė“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53BB5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  <w:r w:rsidRPr="00C107A1">
              <w:rPr>
                <w:sz w:val="24"/>
                <w:szCs w:val="24"/>
                <w:lang w:val="lt-LT"/>
              </w:rPr>
              <w:t xml:space="preserve"> Vaikų ir jaunimo edukacinį tęst</w:t>
            </w:r>
            <w:r>
              <w:rPr>
                <w:sz w:val="24"/>
                <w:szCs w:val="24"/>
                <w:lang w:val="lt-LT"/>
              </w:rPr>
              <w:t>inį  projektą ,,Mokomės žaisti senolių žaidimus</w:t>
            </w:r>
            <w:r w:rsidRPr="00C107A1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31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>5. Kiti darbai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Dalyvauti Kretingos rajono Vyskupo Motiejaus Valančiaus draugijos veikloje,</w:t>
            </w:r>
            <w:r>
              <w:rPr>
                <w:sz w:val="24"/>
                <w:szCs w:val="24"/>
                <w:lang w:val="lt-LT"/>
              </w:rPr>
              <w:t xml:space="preserve"> paminėti vyskupo M. Valančiaus 213-ąsias gimimo metines. 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Dalyvauti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seniūnijos kultūriniame ir visuomeniniame gyvenime.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6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II. MUZIEJAUS RINKINIAI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6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4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1.1. Rinkinių komisijos darbas (numatomas posėdžių skaičius ir svarstytini klausimai)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7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1.2. Eksponatų įsigijimas (kokiu būdu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kiek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į kokius rinkinius ketinama įsigyti)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Įsigyti 40 eksponatų: </w:t>
            </w:r>
            <w:r w:rsidRPr="00C107A1">
              <w:rPr>
                <w:sz w:val="24"/>
                <w:szCs w:val="24"/>
                <w:lang w:val="lt-LT"/>
              </w:rPr>
              <w:t>knygų, senovinių buities rakandų, filmų, nuotraukų.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6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1.3. Ekspedicijos ir išvykos (tikslas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vieta)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834D2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Išvyka į Salantus</w:t>
            </w:r>
            <w:r w:rsidR="00834D25">
              <w:rPr>
                <w:sz w:val="24"/>
                <w:szCs w:val="24"/>
                <w:lang w:val="lt-LT"/>
              </w:rPr>
              <w:t xml:space="preserve">, siekiant </w:t>
            </w:r>
            <w:r>
              <w:rPr>
                <w:sz w:val="24"/>
                <w:szCs w:val="24"/>
                <w:lang w:val="lt-LT"/>
              </w:rPr>
              <w:t xml:space="preserve">įsigyti senų (1839-1939 metų) nuotraukų.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8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1.4.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5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 40 Muziejaus eksponatų, sutikrinti Muziejaus SP eksponatus.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81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2.1. Pi</w:t>
            </w:r>
            <w:r w:rsidR="00834D25">
              <w:rPr>
                <w:sz w:val="24"/>
                <w:szCs w:val="24"/>
                <w:lang w:val="lt-LT"/>
              </w:rPr>
              <w:t>rminė apskaita (kiek numatoma su</w:t>
            </w:r>
            <w:r w:rsidRPr="006E2B3D">
              <w:rPr>
                <w:sz w:val="24"/>
                <w:szCs w:val="24"/>
                <w:lang w:val="lt-LT"/>
              </w:rPr>
              <w:t>rašyti priėmimo aktų, įrašyti eksponatų į pirminės apskaitos knygas)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Suinventorintiems naujiems eksponatams (40) surašyti  priėmimo aktus, juos įrašyti  į pirminės apskaitos knygą.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696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2.2. Inventorinimas (kiek numatoma suinventorinti pagrindinio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pagalbinio fondo eksponatų)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  11 pagrindinio  (GEK) ir  29 pagalbinio (P) fondų eksponatus.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BF03AF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</w:t>
            </w:r>
            <w:r w:rsidRPr="00BF03AF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2141" w:rsidRPr="00C107A1" w:rsidTr="00AE038B">
        <w:trPr>
          <w:trHeight w:val="564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2.3. Kartotekos (numatomų išrašyti kortelių skaičius)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5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2.4. Nurašymas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perkėlimas (kiek numatoma eksponatų nurašyti, perkelti ir kodėl)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7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2.5.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pagrindinio fondo eksponatus.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 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2141" w:rsidRPr="00C107A1" w:rsidTr="00AE038B">
        <w:trPr>
          <w:trHeight w:val="25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 Eksponatų apsauga ir priežiūra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Sutikrinti pagrindinės ekspozicijos  eksponatus.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2141" w:rsidRPr="00C107A1" w:rsidTr="00AE038B">
        <w:trPr>
          <w:trHeight w:val="83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3.1. Rinkinių tikrinimas (kokius rinkinius numatoma tikrinti, nurodant juose esančių eksponatų skaičių)</w:t>
            </w:r>
          </w:p>
        </w:tc>
        <w:tc>
          <w:tcPr>
            <w:tcW w:w="8788" w:type="dxa"/>
            <w:shd w:val="clear" w:color="auto" w:fill="auto"/>
          </w:tcPr>
          <w:p w:rsidR="00DD2141" w:rsidRPr="00F049E7" w:rsidRDefault="00DD2141" w:rsidP="00AE038B">
            <w:pPr>
              <w:jc w:val="both"/>
              <w:rPr>
                <w:rFonts w:ascii="BaltikaLT" w:hAnsi="BaltikaLT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Pagal eksponatų šifrų patvirtintą lentelę  sutikrinti Muziejaus fonduose e</w:t>
            </w:r>
            <w:r>
              <w:rPr>
                <w:sz w:val="24"/>
                <w:szCs w:val="24"/>
                <w:lang w:val="lt-LT"/>
              </w:rPr>
              <w:t xml:space="preserve">sančius SP </w:t>
            </w:r>
            <w:r w:rsidRPr="00C107A1">
              <w:rPr>
                <w:sz w:val="24"/>
                <w:szCs w:val="24"/>
                <w:lang w:val="lt-LT"/>
              </w:rPr>
              <w:t>eksponatus.</w:t>
            </w:r>
            <w:r w:rsidRPr="00956D36">
              <w:rPr>
                <w:rFonts w:ascii="BaltikaLT" w:hAnsi="BaltikaLT"/>
                <w:lang w:val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55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3.2. Konservavimas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restauravimas (nurodyti eksponatų grupes ir kiekį)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53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>3.3. Restauravimo tarybos darbas (numatomas posėdžių skaičius ir svarstytini klausimai)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94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3.4. Eksponatų saugojimo sąlygų tikrinimas (nurodyti saugyklų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salių kiekį</w:t>
            </w:r>
            <w:smartTag w:uri="urn:schemas-microsoft-com:office:smarttags" w:element="PersonName">
              <w:r w:rsidRPr="006E2B3D">
                <w:rPr>
                  <w:color w:val="000000"/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color w:val="000000"/>
                <w:sz w:val="24"/>
                <w:szCs w:val="24"/>
                <w:lang w:val="lt-LT"/>
              </w:rPr>
              <w:t xml:space="preserve"> pagrindinius</w:t>
            </w:r>
            <w:r w:rsidRPr="006E2B3D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6E2B3D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</w:t>
            </w:r>
            <w:r w:rsidRPr="005F15FF">
              <w:rPr>
                <w:sz w:val="22"/>
                <w:szCs w:val="22"/>
                <w:lang w:val="lt-LT"/>
              </w:rPr>
              <w:t>tebėti eksponatų būklę, užtikrin</w:t>
            </w:r>
            <w:r>
              <w:rPr>
                <w:sz w:val="22"/>
                <w:szCs w:val="22"/>
                <w:lang w:val="lt-LT"/>
              </w:rPr>
              <w:t xml:space="preserve">ti </w:t>
            </w:r>
            <w:r w:rsidRPr="005F15FF">
              <w:rPr>
                <w:sz w:val="22"/>
                <w:szCs w:val="22"/>
                <w:lang w:val="lt-LT"/>
              </w:rPr>
              <w:t xml:space="preserve">optimalias </w:t>
            </w:r>
            <w:r>
              <w:rPr>
                <w:sz w:val="22"/>
                <w:szCs w:val="22"/>
                <w:lang w:val="lt-LT"/>
              </w:rPr>
              <w:t xml:space="preserve">eksponatų saugojimo </w:t>
            </w:r>
            <w:r w:rsidRPr="005F15FF">
              <w:rPr>
                <w:sz w:val="22"/>
                <w:szCs w:val="22"/>
                <w:lang w:val="lt-LT"/>
              </w:rPr>
              <w:t>sąlygas</w:t>
            </w:r>
            <w:r>
              <w:rPr>
                <w:sz w:val="22"/>
                <w:szCs w:val="22"/>
                <w:lang w:val="lt-LT"/>
              </w:rPr>
              <w:t xml:space="preserve">  M</w:t>
            </w:r>
            <w:r w:rsidRPr="005F15FF">
              <w:rPr>
                <w:sz w:val="22"/>
                <w:szCs w:val="22"/>
                <w:lang w:val="lt-LT"/>
              </w:rPr>
              <w:t>uziej</w:t>
            </w:r>
            <w:r>
              <w:rPr>
                <w:sz w:val="22"/>
                <w:szCs w:val="22"/>
                <w:lang w:val="lt-LT"/>
              </w:rPr>
              <w:t>uje ir klėtelėje. Vėdinti tekstilės eksponatus.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84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3.5.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Išskirstyti į saugojimo vietas naujai gautus eksponatus.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I-II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6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6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1. Muziejų lankytojai (pagal filialus</w:t>
            </w:r>
            <w:smartTag w:uri="urn:schemas-microsoft-com:office:smarttags" w:element="PersonName">
              <w:r w:rsidRPr="006E2B3D">
                <w:rPr>
                  <w:color w:val="000000"/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color w:val="000000"/>
                <w:sz w:val="24"/>
                <w:szCs w:val="24"/>
                <w:lang w:val="lt-LT"/>
              </w:rPr>
              <w:t xml:space="preserve"> tikslines grupes)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Aptarnauti 2 </w:t>
            </w:r>
            <w:r w:rsidRPr="00C107A1">
              <w:rPr>
                <w:sz w:val="24"/>
                <w:szCs w:val="24"/>
                <w:lang w:val="lt-LT"/>
              </w:rPr>
              <w:t>tūkst. lankytojų</w:t>
            </w:r>
            <w:r w:rsidR="00834D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48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2</w:t>
            </w:r>
            <w:r w:rsidRPr="006E2B3D">
              <w:rPr>
                <w:sz w:val="24"/>
                <w:szCs w:val="24"/>
                <w:lang w:val="lt-LT"/>
              </w:rPr>
              <w:t>. Edukacinės programos (tęsiamų ir naujų programų temos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kokioms lankytojų grupėms jos skirtos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kur vyks)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Rengti edukacinio projekto „Audimo mokyklėlė“ užsiėmimus Muziejuje</w:t>
            </w:r>
            <w:r>
              <w:rPr>
                <w:sz w:val="24"/>
                <w:szCs w:val="24"/>
                <w:lang w:val="lt-LT"/>
              </w:rPr>
              <w:t xml:space="preserve"> visiems lankytojams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bei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</w:t>
            </w:r>
            <w:r>
              <w:rPr>
                <w:sz w:val="24"/>
                <w:szCs w:val="24"/>
                <w:lang w:val="lt-LT"/>
              </w:rPr>
              <w:t xml:space="preserve">agrindinėje mokykloje  -   5-9 </w:t>
            </w:r>
            <w:proofErr w:type="spellStart"/>
            <w:r>
              <w:rPr>
                <w:sz w:val="24"/>
                <w:szCs w:val="24"/>
                <w:lang w:val="lt-LT"/>
              </w:rPr>
              <w:t>kl</w:t>
            </w:r>
            <w:proofErr w:type="spellEnd"/>
            <w:r>
              <w:rPr>
                <w:sz w:val="24"/>
                <w:szCs w:val="24"/>
                <w:lang w:val="lt-LT"/>
              </w:rPr>
              <w:t>. m</w:t>
            </w:r>
            <w:r w:rsidR="00834D25">
              <w:rPr>
                <w:sz w:val="24"/>
                <w:szCs w:val="24"/>
                <w:lang w:val="lt-LT"/>
              </w:rPr>
              <w:t>oksleiviams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Organizuoti </w:t>
            </w:r>
            <w:r w:rsidRPr="00C107A1">
              <w:rPr>
                <w:sz w:val="24"/>
                <w:szCs w:val="24"/>
                <w:lang w:val="lt-LT"/>
              </w:rPr>
              <w:t>Muziejuje</w:t>
            </w:r>
            <w:r>
              <w:rPr>
                <w:sz w:val="24"/>
                <w:szCs w:val="24"/>
                <w:lang w:val="lt-LT"/>
              </w:rPr>
              <w:t xml:space="preserve"> edukacinio projekto ,,Mokomės žaisti senolių žaidimus“ tarpmokyklines varžytuves.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– 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306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3</w:t>
            </w:r>
            <w:r w:rsidRPr="006E2B3D">
              <w:rPr>
                <w:sz w:val="24"/>
                <w:szCs w:val="24"/>
                <w:lang w:val="lt-LT"/>
              </w:rPr>
              <w:t>. Muziejaus renginiai (pavadinimas ir vieta)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 Muziejuje 7</w:t>
            </w:r>
            <w:r w:rsidRPr="00C107A1">
              <w:rPr>
                <w:sz w:val="24"/>
                <w:szCs w:val="24"/>
                <w:lang w:val="lt-LT"/>
              </w:rPr>
              <w:t xml:space="preserve">  renginius:</w:t>
            </w:r>
          </w:p>
          <w:p w:rsidR="00DD2141" w:rsidRPr="00857B2E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Filmo </w:t>
            </w:r>
            <w:r w:rsidRPr="00857B2E">
              <w:rPr>
                <w:sz w:val="24"/>
                <w:szCs w:val="24"/>
                <w:lang w:val="lt-LT"/>
              </w:rPr>
              <w:t>,,</w:t>
            </w:r>
            <w:r>
              <w:rPr>
                <w:sz w:val="24"/>
                <w:szCs w:val="24"/>
                <w:lang w:val="lt-LT"/>
              </w:rPr>
              <w:t xml:space="preserve">1918 metų Vasario 16-osios Akto </w:t>
            </w:r>
            <w:r w:rsidRPr="00857B2E">
              <w:rPr>
                <w:sz w:val="24"/>
                <w:szCs w:val="24"/>
                <w:lang w:val="lt-LT"/>
              </w:rPr>
              <w:t>signatarai''</w:t>
            </w:r>
            <w:r>
              <w:rPr>
                <w:sz w:val="24"/>
                <w:szCs w:val="24"/>
                <w:lang w:val="lt-LT"/>
              </w:rPr>
              <w:t xml:space="preserve"> pristatymas </w:t>
            </w:r>
            <w:proofErr w:type="spellStart"/>
            <w:r>
              <w:rPr>
                <w:sz w:val="24"/>
                <w:szCs w:val="24"/>
                <w:lang w:val="lt-LT"/>
              </w:rPr>
              <w:t>Nasrėnų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kaimo gyventojam</w:t>
            </w:r>
            <w:r w:rsidRPr="00857B2E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 xml:space="preserve">. </w:t>
            </w:r>
            <w:r w:rsidRPr="00857B2E">
              <w:rPr>
                <w:sz w:val="24"/>
                <w:szCs w:val="24"/>
                <w:lang w:val="lt-LT"/>
              </w:rPr>
              <w:br/>
              <w:t xml:space="preserve">2. </w:t>
            </w:r>
            <w:r>
              <w:rPr>
                <w:sz w:val="24"/>
                <w:szCs w:val="24"/>
                <w:lang w:val="lt-LT"/>
              </w:rPr>
              <w:t xml:space="preserve">Kartu  su  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  M.  Valančiaus    pagrindine   mokykla    paminėti   Motiejaus  Valančiaus 213– </w:t>
            </w:r>
            <w:proofErr w:type="spellStart"/>
            <w:r>
              <w:rPr>
                <w:sz w:val="24"/>
                <w:szCs w:val="24"/>
                <w:lang w:val="lt-LT"/>
              </w:rPr>
              <w:t>ąsias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 gimimo metines.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="00834D25">
              <w:rPr>
                <w:sz w:val="24"/>
                <w:szCs w:val="24"/>
                <w:lang w:val="lt-LT"/>
              </w:rPr>
              <w:t>Tradicinė G</w:t>
            </w:r>
            <w:r w:rsidRPr="00C107A1">
              <w:rPr>
                <w:sz w:val="24"/>
                <w:szCs w:val="24"/>
                <w:lang w:val="lt-LT"/>
              </w:rPr>
              <w:t xml:space="preserve">avėnios popietė su Kalvarijos kalnų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 kaimų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,,Gandro sutiktuvės‘‘ -  tradicinė pavasario šventė.</w:t>
            </w:r>
          </w:p>
          <w:p w:rsidR="00DD2141" w:rsidRPr="000711DF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Tradicinė (21</w:t>
            </w:r>
            <w:r w:rsidRPr="00C107A1">
              <w:rPr>
                <w:sz w:val="24"/>
                <w:szCs w:val="24"/>
                <w:lang w:val="lt-LT"/>
              </w:rPr>
              <w:t>-oji) respublikinė moksleivių M. Valančiau</w:t>
            </w:r>
            <w:r>
              <w:rPr>
                <w:sz w:val="24"/>
                <w:szCs w:val="24"/>
                <w:lang w:val="lt-LT"/>
              </w:rPr>
              <w:t>s raštų meninio skaitymo šventė.</w:t>
            </w:r>
          </w:p>
          <w:p w:rsidR="00DD2141" w:rsidRPr="00C11EA9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</w:t>
            </w:r>
            <w:r w:rsidRPr="00C107A1">
              <w:rPr>
                <w:sz w:val="24"/>
                <w:szCs w:val="24"/>
                <w:lang w:val="lt-LT"/>
              </w:rPr>
              <w:t>Popietė „Nuoširdus pokalbis su kaimynu“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Kalėdų eglutės šventė </w:t>
            </w:r>
            <w:proofErr w:type="spellStart"/>
            <w:r>
              <w:rPr>
                <w:sz w:val="24"/>
                <w:szCs w:val="24"/>
                <w:lang w:val="lt-LT"/>
              </w:rPr>
              <w:t>Nasrėnų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kaimo gyventojams ,,Naujųjų belaukiant‘‘.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Pr="0021732F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Pr="00E971A5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7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4.</w:t>
            </w:r>
            <w:r w:rsidRPr="006E2B3D">
              <w:rPr>
                <w:sz w:val="24"/>
                <w:szCs w:val="24"/>
                <w:lang w:val="lt-LT"/>
              </w:rPr>
              <w:t xml:space="preserve"> Muziejaus interneto svetainės plėtra (kas ir kaip numatoma atnaujinti)</w:t>
            </w:r>
          </w:p>
        </w:tc>
        <w:tc>
          <w:tcPr>
            <w:tcW w:w="8788" w:type="dxa"/>
            <w:shd w:val="clear" w:color="auto" w:fill="auto"/>
          </w:tcPr>
          <w:p w:rsidR="00DD2141" w:rsidRPr="00401BE9" w:rsidRDefault="00DD2141" w:rsidP="00AE038B">
            <w:pPr>
              <w:pStyle w:val="Antrat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 atnaujinti informaciją Muziejaus interneto svetainėje.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2141" w:rsidRPr="00C107A1" w:rsidTr="00AE038B">
        <w:trPr>
          <w:trHeight w:val="45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5</w:t>
            </w:r>
            <w:r w:rsidRPr="006E2B3D">
              <w:rPr>
                <w:sz w:val="24"/>
                <w:szCs w:val="24"/>
                <w:lang w:val="lt-LT"/>
              </w:rPr>
              <w:t xml:space="preserve">. Fondų lankytojų aptarnavimas (kokius ir kiek lankytojų planuojama aptarnauti)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a</w:t>
            </w:r>
            <w:r w:rsidRPr="00C107A1">
              <w:rPr>
                <w:sz w:val="24"/>
                <w:szCs w:val="24"/>
                <w:lang w:val="lt-LT"/>
              </w:rPr>
              <w:t xml:space="preserve">ptarnauti </w:t>
            </w:r>
            <w:r>
              <w:rPr>
                <w:sz w:val="24"/>
                <w:szCs w:val="24"/>
                <w:lang w:val="lt-LT"/>
              </w:rPr>
              <w:t xml:space="preserve"> Muziejaus fondo</w:t>
            </w:r>
            <w:r w:rsidRPr="00C107A1">
              <w:rPr>
                <w:sz w:val="24"/>
                <w:szCs w:val="24"/>
                <w:lang w:val="lt-LT"/>
              </w:rPr>
              <w:t xml:space="preserve"> lankytojus ir interesantus, teikti konsultacijas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33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6</w:t>
            </w:r>
            <w:r w:rsidRPr="006E2B3D">
              <w:rPr>
                <w:sz w:val="24"/>
                <w:szCs w:val="24"/>
                <w:lang w:val="lt-LT"/>
              </w:rPr>
              <w:t>. Kita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>
              <w:rPr>
                <w:sz w:val="24"/>
                <w:szCs w:val="24"/>
                <w:lang w:val="lt-LT"/>
              </w:rPr>
              <w:lastRenderedPageBreak/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A.Čėsna</w:t>
            </w:r>
          </w:p>
        </w:tc>
      </w:tr>
      <w:tr w:rsidR="00DD2141" w:rsidRPr="00C107A1" w:rsidTr="00AE038B">
        <w:trPr>
          <w:trHeight w:val="27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>IV. EKSPOZICIJOS IR PARODOS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47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Ekspozicijų ir parodų teminių planų bei koncepcijų rengimas</w:t>
            </w:r>
          </w:p>
        </w:tc>
        <w:tc>
          <w:tcPr>
            <w:tcW w:w="8788" w:type="dxa"/>
            <w:shd w:val="clear" w:color="auto" w:fill="auto"/>
          </w:tcPr>
          <w:p w:rsidR="00DD2141" w:rsidRPr="00D63E46" w:rsidRDefault="00DD2141" w:rsidP="00AE038B">
            <w:pPr>
              <w:rPr>
                <w:b/>
                <w:sz w:val="36"/>
                <w:szCs w:val="36"/>
                <w:u w:val="single"/>
                <w:lang w:val="lt-LT"/>
              </w:rPr>
            </w:pPr>
            <w:r w:rsidRPr="00857B2E">
              <w:rPr>
                <w:sz w:val="24"/>
                <w:szCs w:val="24"/>
                <w:lang w:val="lt-LT"/>
              </w:rPr>
              <w:t>Pildyti teminius ekspozicijų planus: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57B2E">
              <w:rPr>
                <w:sz w:val="24"/>
                <w:szCs w:val="24"/>
                <w:lang w:val="lt-LT"/>
              </w:rPr>
              <w:t>,,Žemaičių vyskupas Motiejus Valančius‘‘, ,,Motiejus Valančius – rašytojas, švietėjas, istorikas‘‘.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II-III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47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Ekspozicijų atnaujinimas (pavadinimas ir vieta, nurodant filialą)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3383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 Parodos muziejuje (pavadinimas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vieta)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Surengti Muziejuje 9 </w:t>
            </w:r>
            <w:r w:rsidRPr="00C107A1">
              <w:rPr>
                <w:sz w:val="24"/>
                <w:szCs w:val="24"/>
                <w:lang w:val="lt-LT"/>
              </w:rPr>
              <w:t>parodas: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Fotografijų paroda ,,Jie tarnavo nepriklausomos Lietuvos kariuomenėje‘‘, skirta Lietuvos valstybės atkūrimo dienai.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,,Lietuva mano svajonėse</w:t>
            </w:r>
            <w:r w:rsidRPr="00C107A1">
              <w:rPr>
                <w:sz w:val="24"/>
                <w:szCs w:val="24"/>
                <w:lang w:val="lt-LT"/>
              </w:rPr>
              <w:t xml:space="preserve">“ –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pagrindinės mokyklos moksleivių piešinių paroda,</w:t>
            </w:r>
            <w:r>
              <w:rPr>
                <w:sz w:val="24"/>
                <w:szCs w:val="24"/>
                <w:lang w:val="lt-LT"/>
              </w:rPr>
              <w:t xml:space="preserve"> skirta Motiejaus Valančiaus 213</w:t>
            </w:r>
            <w:r w:rsidRPr="00C107A1"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gimimo metinėms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Paroda, skirta Muziejaus veiklos 45- </w:t>
            </w:r>
            <w:proofErr w:type="spellStart"/>
            <w:r>
              <w:rPr>
                <w:sz w:val="24"/>
                <w:szCs w:val="24"/>
                <w:lang w:val="lt-LT"/>
              </w:rPr>
              <w:t>osioms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metinėms.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C107A1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Paroda iš Muziejaus fondų „Velykiniai margučiai“.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C107A1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Fotografijų</w:t>
            </w:r>
            <w:r w:rsidRPr="00C107A1">
              <w:rPr>
                <w:sz w:val="24"/>
                <w:szCs w:val="24"/>
                <w:lang w:val="lt-LT"/>
              </w:rPr>
              <w:t xml:space="preserve"> paroda „M. Valančiaus raštų meninio skaitymo </w:t>
            </w:r>
            <w:r>
              <w:rPr>
                <w:sz w:val="24"/>
                <w:szCs w:val="24"/>
                <w:lang w:val="lt-LT"/>
              </w:rPr>
              <w:t xml:space="preserve">20 </w:t>
            </w:r>
            <w:r w:rsidRPr="00857B2E">
              <w:rPr>
                <w:rStyle w:val="Grietas"/>
                <w:lang w:val="lt-LT"/>
              </w:rPr>
              <w:t>–</w:t>
            </w:r>
            <w:r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Style w:val="Grietas"/>
                <w:b w:val="0"/>
                <w:sz w:val="24"/>
                <w:szCs w:val="24"/>
                <w:lang w:val="lt-LT"/>
              </w:rPr>
              <w:t>osios</w:t>
            </w:r>
            <w:proofErr w:type="spellEnd"/>
            <w:r w:rsidRPr="00857B2E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C107A1">
              <w:rPr>
                <w:sz w:val="24"/>
                <w:szCs w:val="24"/>
                <w:lang w:val="lt-LT"/>
              </w:rPr>
              <w:t>šven</w:t>
            </w:r>
            <w:r>
              <w:rPr>
                <w:sz w:val="24"/>
                <w:szCs w:val="24"/>
                <w:lang w:val="lt-LT"/>
              </w:rPr>
              <w:t>tės akimirkos‘‘.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Fotografijų paroda ,,</w:t>
            </w:r>
            <w:proofErr w:type="spellStart"/>
            <w:r>
              <w:rPr>
                <w:sz w:val="24"/>
                <w:szCs w:val="24"/>
              </w:rPr>
              <w:t>Salantų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parapijos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žmonės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senosiose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nuotraukose</w:t>
            </w:r>
            <w:proofErr w:type="spellEnd"/>
            <w:r>
              <w:rPr>
                <w:sz w:val="24"/>
                <w:szCs w:val="24"/>
              </w:rPr>
              <w:t>’’.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Fotografijų paroda „Klojimo teatrų šventės </w:t>
            </w:r>
            <w:proofErr w:type="spellStart"/>
            <w:r>
              <w:rPr>
                <w:sz w:val="24"/>
                <w:szCs w:val="24"/>
                <w:lang w:val="lt-LT"/>
              </w:rPr>
              <w:t>Nasrėnuose</w:t>
            </w:r>
            <w:proofErr w:type="spellEnd"/>
            <w:r>
              <w:rPr>
                <w:sz w:val="24"/>
                <w:szCs w:val="24"/>
                <w:lang w:val="lt-LT"/>
              </w:rPr>
              <w:t>‘‘,  skirta Teatrų metams.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8. </w:t>
            </w:r>
            <w:r w:rsidRPr="00C107A1">
              <w:rPr>
                <w:sz w:val="24"/>
                <w:szCs w:val="24"/>
                <w:lang w:val="lt-LT"/>
              </w:rPr>
              <w:t xml:space="preserve">„Audimo mokyklėlės“ </w:t>
            </w:r>
            <w:r>
              <w:rPr>
                <w:sz w:val="24"/>
                <w:szCs w:val="24"/>
                <w:lang w:val="lt-LT"/>
              </w:rPr>
              <w:t>projekto dalyvių audimo darbų paroda.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9. Fotografijų paroda „2013 m. </w:t>
            </w:r>
            <w:r w:rsidRPr="00935CBB">
              <w:rPr>
                <w:sz w:val="24"/>
                <w:szCs w:val="24"/>
                <w:lang w:val="lt-LT"/>
              </w:rPr>
              <w:t>Kalėdų eglutės šventė</w:t>
            </w:r>
            <w:r>
              <w:rPr>
                <w:sz w:val="24"/>
                <w:szCs w:val="24"/>
                <w:lang w:val="lt-LT"/>
              </w:rPr>
              <w:t>s akimirkos“.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IIketv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21732F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06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4. Parodos kituose muziejuose ir institucijose Lietuvoje ir užsienyje (pavadinimas, vieta, laikas)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3</w:t>
            </w:r>
            <w:r w:rsidRPr="00C107A1">
              <w:rPr>
                <w:sz w:val="24"/>
                <w:szCs w:val="24"/>
                <w:lang w:val="lt-LT"/>
              </w:rPr>
              <w:t xml:space="preserve"> parodas: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Fotografijų paroda ,,</w:t>
            </w:r>
            <w:r w:rsidRPr="001A38FB">
              <w:rPr>
                <w:sz w:val="24"/>
                <w:szCs w:val="24"/>
                <w:lang w:val="lt-LT"/>
              </w:rPr>
              <w:t xml:space="preserve">Salantų parapijos žmonės senosiose nuotraukose’’ 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bibliotekoje. 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Fotografijų paroda ,,</w:t>
            </w:r>
            <w:r w:rsidRPr="001A38FB">
              <w:rPr>
                <w:sz w:val="24"/>
                <w:szCs w:val="24"/>
                <w:lang w:val="lt-LT"/>
              </w:rPr>
              <w:t xml:space="preserve">Salantų parapijos žmonės senosiose nuotraukose’’ </w:t>
            </w:r>
            <w:r>
              <w:rPr>
                <w:sz w:val="24"/>
                <w:szCs w:val="24"/>
                <w:lang w:val="lt-LT"/>
              </w:rPr>
              <w:t xml:space="preserve"> Salantų kultūros centre.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Pr="00C107A1">
              <w:rPr>
                <w:sz w:val="24"/>
                <w:szCs w:val="24"/>
                <w:lang w:val="lt-LT"/>
              </w:rPr>
              <w:t xml:space="preserve">„Audimo mokyklėlės“ </w:t>
            </w:r>
            <w:r>
              <w:rPr>
                <w:sz w:val="24"/>
                <w:szCs w:val="24"/>
                <w:lang w:val="lt-LT"/>
              </w:rPr>
              <w:t>projekto</w:t>
            </w:r>
            <w:r w:rsidRPr="00935CBB">
              <w:rPr>
                <w:sz w:val="24"/>
                <w:szCs w:val="24"/>
                <w:lang w:val="lt-LT"/>
              </w:rPr>
              <w:t xml:space="preserve"> partnerio</w:t>
            </w:r>
            <w:r>
              <w:rPr>
                <w:sz w:val="24"/>
                <w:szCs w:val="24"/>
                <w:lang w:val="lt-LT"/>
              </w:rPr>
              <w:t xml:space="preserve"> -</w:t>
            </w:r>
            <w:r w:rsidRPr="00935CB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956D36">
              <w:rPr>
                <w:sz w:val="24"/>
                <w:szCs w:val="24"/>
                <w:lang w:val="lt-LT"/>
              </w:rPr>
              <w:t xml:space="preserve"> M. Valančiaus pagrindinės mokyklos mokinių</w:t>
            </w:r>
            <w:r>
              <w:rPr>
                <w:sz w:val="24"/>
                <w:szCs w:val="24"/>
                <w:lang w:val="lt-LT"/>
              </w:rPr>
              <w:t xml:space="preserve"> - darbų paroda </w:t>
            </w:r>
            <w:proofErr w:type="spellStart"/>
            <w:r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956D36">
              <w:rPr>
                <w:sz w:val="24"/>
                <w:szCs w:val="24"/>
                <w:lang w:val="lt-LT"/>
              </w:rPr>
              <w:t xml:space="preserve"> M. Valančiaus pagrindinėje  mokykloje.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A.Čėsna    </w:t>
            </w:r>
          </w:p>
        </w:tc>
      </w:tr>
      <w:tr w:rsidR="00DD2141" w:rsidRPr="00C107A1" w:rsidTr="00AE038B">
        <w:trPr>
          <w:trHeight w:val="54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5. Virtualios parodos (pavadinimas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tinklalapio adresas)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 xml:space="preserve">Svetainė </w:t>
            </w:r>
            <w:hyperlink r:id="rId7" w:history="1">
              <w:r w:rsidRPr="00C107A1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>
              <w:rPr>
                <w:sz w:val="24"/>
                <w:szCs w:val="24"/>
                <w:lang w:val="lt-LT"/>
              </w:rPr>
              <w:t xml:space="preserve">: </w:t>
            </w:r>
            <w:r w:rsidRPr="00C107A1">
              <w:rPr>
                <w:sz w:val="24"/>
                <w:szCs w:val="24"/>
                <w:lang w:val="lt-LT"/>
              </w:rPr>
              <w:t>virtuali paro</w:t>
            </w:r>
            <w:r>
              <w:rPr>
                <w:sz w:val="24"/>
                <w:szCs w:val="24"/>
                <w:lang w:val="lt-LT"/>
              </w:rPr>
              <w:t>da ,,Lietuva mano svajonėse</w:t>
            </w:r>
            <w:r w:rsidRPr="00C107A1">
              <w:rPr>
                <w:sz w:val="24"/>
                <w:szCs w:val="24"/>
                <w:lang w:val="lt-LT"/>
              </w:rPr>
              <w:t xml:space="preserve">“ </w:t>
            </w:r>
            <w:r>
              <w:rPr>
                <w:sz w:val="24"/>
                <w:szCs w:val="24"/>
                <w:lang w:val="lt-LT"/>
              </w:rPr>
              <w:t xml:space="preserve">(iš 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pagrindinės mok</w:t>
            </w:r>
            <w:r>
              <w:rPr>
                <w:sz w:val="24"/>
                <w:szCs w:val="24"/>
                <w:lang w:val="lt-LT"/>
              </w:rPr>
              <w:t>yklos moksleivių piešinių parodos).</w:t>
            </w:r>
          </w:p>
          <w:p w:rsidR="00DD2141" w:rsidRPr="000C6B06" w:rsidRDefault="00DD2141" w:rsidP="00AE038B">
            <w:pPr>
              <w:jc w:val="both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Svetainė </w:t>
            </w:r>
            <w:hyperlink w:history="1">
              <w:r w:rsidRPr="001B0F80">
                <w:rPr>
                  <w:rStyle w:val="Hipersaitas"/>
                  <w:sz w:val="24"/>
                  <w:szCs w:val="24"/>
                  <w:lang w:val="lt-LT"/>
                </w:rPr>
                <w:t>www.Lietuvos muziejai</w:t>
              </w:r>
            </w:hyperlink>
            <w:r>
              <w:rPr>
                <w:b/>
                <w:bCs/>
                <w:color w:val="000000"/>
                <w:lang w:val="lt-LT"/>
              </w:rPr>
              <w:t>: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C6B06">
              <w:rPr>
                <w:rStyle w:val="anonsas1"/>
                <w:color w:val="303030"/>
                <w:sz w:val="24"/>
                <w:szCs w:val="24"/>
                <w:lang w:val="lt-LT"/>
              </w:rPr>
              <w:t>atnaujinti virtuali</w:t>
            </w:r>
            <w:r>
              <w:rPr>
                <w:rStyle w:val="anonsas1"/>
                <w:color w:val="303030"/>
                <w:sz w:val="24"/>
                <w:szCs w:val="24"/>
                <w:lang w:val="lt-LT"/>
              </w:rPr>
              <w:t>ą</w:t>
            </w:r>
            <w:r w:rsidRPr="000C6B06"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 parod</w:t>
            </w:r>
            <w:r>
              <w:rPr>
                <w:rStyle w:val="anonsas1"/>
                <w:color w:val="303030"/>
                <w:sz w:val="24"/>
                <w:szCs w:val="24"/>
                <w:lang w:val="lt-LT"/>
              </w:rPr>
              <w:t>ą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C6B06"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 „Vyskupo Motiejaus Valančiaus </w:t>
            </w:r>
            <w:r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gimtinės muziejuje“, </w:t>
            </w:r>
            <w:r w:rsidRPr="000C6B06"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sukurti virtualią parodą </w:t>
            </w:r>
            <w:r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 </w:t>
            </w:r>
            <w:r w:rsidRPr="00C107A1">
              <w:rPr>
                <w:sz w:val="24"/>
                <w:szCs w:val="24"/>
                <w:lang w:val="lt-LT"/>
              </w:rPr>
              <w:t>„M. Valančiaus raštų meninio skaitymo</w:t>
            </w:r>
            <w:r>
              <w:rPr>
                <w:sz w:val="24"/>
                <w:szCs w:val="24"/>
                <w:lang w:val="lt-LT"/>
              </w:rPr>
              <w:t xml:space="preserve"> švenčių akimirkos</w:t>
            </w:r>
            <w:r w:rsidRPr="000C6B06">
              <w:rPr>
                <w:rStyle w:val="anonsas1"/>
                <w:color w:val="303030"/>
                <w:sz w:val="24"/>
                <w:szCs w:val="24"/>
                <w:lang w:val="lt-LT"/>
              </w:rPr>
              <w:t xml:space="preserve">’’. 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I-II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2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>6. Bendradarbiavimas su kitais muziejais (kokioms parodoms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kokių ir kiek eksponatų planuojama skolinti)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Bendradarbiauti su Kretingos muziejumi: deponuoti 124 eksponatus.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8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7.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6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V. LEIDYBINĖ IR MOKSLINĖ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6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Katalogų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mokslinių ir kitų leidinių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įskaitant elektroninius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rengimas ir leidyba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94"/>
        </w:trPr>
        <w:tc>
          <w:tcPr>
            <w:tcW w:w="4112" w:type="dxa"/>
            <w:shd w:val="clear" w:color="auto" w:fill="auto"/>
          </w:tcPr>
          <w:p w:rsidR="00DD2141" w:rsidRPr="006E2B3D" w:rsidRDefault="00DD2141" w:rsidP="00834D25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Informacinių leidinių (</w:t>
            </w:r>
            <w:proofErr w:type="spellStart"/>
            <w:r w:rsidR="00834D25">
              <w:rPr>
                <w:sz w:val="24"/>
                <w:szCs w:val="24"/>
                <w:lang w:val="lt-LT"/>
              </w:rPr>
              <w:t>lankstinių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>, kvietimų, plakatų ir kt.) rengimas ir leidyba</w:t>
            </w:r>
          </w:p>
        </w:tc>
        <w:tc>
          <w:tcPr>
            <w:tcW w:w="8788" w:type="dxa"/>
            <w:shd w:val="clear" w:color="auto" w:fill="auto"/>
          </w:tcPr>
          <w:p w:rsidR="00DD2141" w:rsidRPr="00B16BDC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Parengti ir </w:t>
            </w:r>
            <w:r w:rsidRPr="00B16BDC">
              <w:rPr>
                <w:sz w:val="24"/>
                <w:szCs w:val="24"/>
                <w:lang w:val="lt-LT"/>
              </w:rPr>
              <w:t>išleisti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834D25">
              <w:rPr>
                <w:bCs/>
                <w:color w:val="000000"/>
                <w:sz w:val="24"/>
                <w:szCs w:val="24"/>
              </w:rPr>
              <w:t>renginių</w:t>
            </w:r>
            <w:proofErr w:type="spellEnd"/>
            <w:r w:rsidRPr="00B16BDC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BDC">
              <w:rPr>
                <w:bCs/>
                <w:color w:val="000000"/>
                <w:sz w:val="24"/>
                <w:szCs w:val="24"/>
              </w:rPr>
              <w:t>kv</w:t>
            </w:r>
            <w:r>
              <w:rPr>
                <w:bCs/>
                <w:color w:val="000000"/>
                <w:sz w:val="24"/>
                <w:szCs w:val="24"/>
              </w:rPr>
              <w:t>ietimus-</w:t>
            </w:r>
            <w:r w:rsidRPr="00B16BDC">
              <w:rPr>
                <w:bCs/>
                <w:color w:val="000000"/>
                <w:sz w:val="24"/>
                <w:szCs w:val="24"/>
              </w:rPr>
              <w:t>programas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I-IV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Pr="00C107A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6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 Publikacijų kultūros ir periodinėje spaudoje rengimas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Publikuoti straipsnius apie Muziejaus renginius</w:t>
            </w:r>
            <w:r w:rsidR="00834D25">
              <w:rPr>
                <w:sz w:val="24"/>
                <w:szCs w:val="24"/>
                <w:lang w:val="lt-LT"/>
              </w:rPr>
              <w:t>, vykdomus projektus periodinėje</w:t>
            </w:r>
            <w:r>
              <w:rPr>
                <w:sz w:val="24"/>
                <w:szCs w:val="24"/>
                <w:lang w:val="lt-LT"/>
              </w:rPr>
              <w:t xml:space="preserve"> spaudoje.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 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54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color w:val="000000"/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4. Moksliniai tyrimai (temos)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4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color w:val="000000"/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5. Mokslinių straipsnių rengimas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4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6. Mokslinių ir kitų konferencijų rengimas muziejuje (tema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vieta)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color w:val="FF0000"/>
                <w:lang w:val="lt-LT"/>
              </w:rPr>
            </w:pPr>
            <w:r w:rsidRPr="00C107A1">
              <w:rPr>
                <w:color w:val="FF0000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0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7. Dalyvavimas mokslinėse ir kitose konferencijose ne muziejuje (tema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vieta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dalyviai)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0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color w:val="000000"/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8. Pranešimai mokslinėse konferencijose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34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9.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69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VI. RINKINIŲ APSKAITOS KOMPIUTERIZAVIMAS IR EKSPONATŲ SKAITMENINIMAS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69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Kompiuterinė apskaita (jei vykdoma, nurodyti numatomų įvesti į muziejaus duomenų bazę įrašų apie eksponatus bei skaitmeninių vaizdų skaičių)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303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2. LIMIS (kokie vykdomi parengiamieji </w:t>
            </w:r>
            <w:r w:rsidRPr="006E2B3D">
              <w:rPr>
                <w:sz w:val="24"/>
                <w:szCs w:val="24"/>
                <w:lang w:val="lt-LT"/>
              </w:rPr>
              <w:lastRenderedPageBreak/>
              <w:t>darbai)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83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 xml:space="preserve">3. Eksponatų 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skaitmeninimas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69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3. 1.Numatomų 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skaitmeninti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 xml:space="preserve"> eksponatų atranka (nurodyti prioritetinį kriterijų/-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us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>: unikalumas, turinys ir vertė, fizinė būklė, amžius, rūšis, tema, kt.)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94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3.2. Numatomų 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skaitmeninti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 xml:space="preserve"> eksponatų skaičius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 eksponatų.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46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3.3. Dalyvavimas 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 xml:space="preserve"> projektuose (pavadinimas, partneriai, kt.)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834D25">
            <w:pPr>
              <w:jc w:val="both"/>
              <w:rPr>
                <w:sz w:val="24"/>
                <w:szCs w:val="24"/>
                <w:lang w:val="lt-LT"/>
              </w:rPr>
            </w:pPr>
            <w:r w:rsidRPr="005F15FF">
              <w:rPr>
                <w:sz w:val="22"/>
                <w:szCs w:val="22"/>
                <w:lang w:val="lt-LT"/>
              </w:rPr>
              <w:t xml:space="preserve">Kartu su kitomis Lietuvos institucijomis dalyvauti LIMIS koordinuojamame senųjų fotografijų </w:t>
            </w:r>
            <w:proofErr w:type="spellStart"/>
            <w:r w:rsidRPr="005F15FF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5F15FF">
              <w:rPr>
                <w:sz w:val="22"/>
                <w:szCs w:val="22"/>
                <w:lang w:val="lt-LT"/>
              </w:rPr>
              <w:t xml:space="preserve"> ir sklaidos projekte </w:t>
            </w:r>
            <w:r w:rsidRPr="005F15FF">
              <w:rPr>
                <w:sz w:val="22"/>
                <w:szCs w:val="22"/>
              </w:rPr>
              <w:t>„European Ancient Photographic Vintage Repositories of Digitalized Pictures of Historic Qua</w:t>
            </w:r>
            <w:r>
              <w:rPr>
                <w:sz w:val="22"/>
                <w:szCs w:val="22"/>
              </w:rPr>
              <w:t xml:space="preserve">lity“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pateikti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5F15FF">
              <w:rPr>
                <w:sz w:val="22"/>
                <w:szCs w:val="22"/>
              </w:rPr>
              <w:t xml:space="preserve"> </w:t>
            </w:r>
            <w:proofErr w:type="spellStart"/>
            <w:r w:rsidRPr="005F15FF">
              <w:rPr>
                <w:sz w:val="22"/>
                <w:szCs w:val="22"/>
              </w:rPr>
              <w:t>suskaitmenintų</w:t>
            </w:r>
            <w:proofErr w:type="spellEnd"/>
            <w:r w:rsidRPr="005F15FF">
              <w:rPr>
                <w:sz w:val="22"/>
                <w:szCs w:val="22"/>
              </w:rPr>
              <w:t xml:space="preserve"> </w:t>
            </w:r>
            <w:r w:rsidRPr="004C238F">
              <w:rPr>
                <w:b/>
                <w:bCs/>
                <w:sz w:val="24"/>
                <w:szCs w:val="24"/>
              </w:rPr>
              <w:t xml:space="preserve"> </w:t>
            </w:r>
            <w:r w:rsidRPr="004C238F">
              <w:rPr>
                <w:bCs/>
                <w:sz w:val="24"/>
                <w:szCs w:val="24"/>
              </w:rPr>
              <w:t>(</w:t>
            </w:r>
            <w:r w:rsidRPr="005F15FF">
              <w:rPr>
                <w:sz w:val="22"/>
                <w:szCs w:val="22"/>
              </w:rPr>
              <w:t>1839</w:t>
            </w:r>
            <w:r w:rsidRPr="005F15FF">
              <w:rPr>
                <w:bCs/>
                <w:sz w:val="22"/>
                <w:szCs w:val="22"/>
                <w:lang w:val="lt-LT"/>
              </w:rPr>
              <w:t>–</w:t>
            </w:r>
            <w:r w:rsidRPr="005F15FF">
              <w:rPr>
                <w:sz w:val="22"/>
                <w:szCs w:val="22"/>
              </w:rPr>
              <w:t>1939 m.</w:t>
            </w:r>
            <w:r>
              <w:rPr>
                <w:sz w:val="24"/>
                <w:szCs w:val="24"/>
                <w:lang w:val="lt-LT"/>
              </w:rPr>
              <w:t xml:space="preserve"> )</w:t>
            </w:r>
            <w:r w:rsidRPr="005F15FF">
              <w:rPr>
                <w:sz w:val="22"/>
                <w:szCs w:val="22"/>
              </w:rPr>
              <w:t xml:space="preserve"> </w:t>
            </w:r>
            <w:proofErr w:type="spellStart"/>
            <w:r w:rsidRPr="005F15FF">
              <w:rPr>
                <w:sz w:val="22"/>
                <w:szCs w:val="22"/>
              </w:rPr>
              <w:t>fotografijų</w:t>
            </w:r>
            <w:proofErr w:type="spellEnd"/>
            <w:r w:rsidRPr="005F1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69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4. </w:t>
            </w:r>
            <w:proofErr w:type="spellStart"/>
            <w:r w:rsidRPr="006E2B3D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6E2B3D">
              <w:rPr>
                <w:sz w:val="24"/>
                <w:szCs w:val="24"/>
                <w:lang w:val="lt-LT"/>
              </w:rPr>
              <w:t xml:space="preserve"> ir darbo su duomenų bazėmis gebėjimų ugdymas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6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5. Kiti darbai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Fotografuoti ir filmuoti Muziejuje rengiamus edukacinius užsiėmimus ir renginius.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A. Čėsna</w:t>
            </w:r>
          </w:p>
        </w:tc>
      </w:tr>
      <w:tr w:rsidR="00DD2141" w:rsidRPr="00C107A1" w:rsidTr="00AE038B">
        <w:trPr>
          <w:trHeight w:val="33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VII. RYŠIAI SU VISUOMENE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07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Informacijos žiniasklaidai apie muziejų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jo rinkinius ir renginius rengimas (nurodyti numatomų parengti informacinių pranešimų spaudai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radijo ir televizijos laidų kiekį)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Rašyti į spaudą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C107A1">
              <w:rPr>
                <w:sz w:val="24"/>
                <w:szCs w:val="24"/>
                <w:lang w:val="lt-LT"/>
              </w:rPr>
              <w:t xml:space="preserve">Lietuvos muziejų </w:t>
            </w:r>
            <w:r>
              <w:rPr>
                <w:sz w:val="24"/>
                <w:szCs w:val="24"/>
                <w:lang w:val="lt-LT"/>
              </w:rPr>
              <w:t>ir Muziejaus interneto svetainėse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C107A1">
              <w:rPr>
                <w:sz w:val="24"/>
                <w:szCs w:val="24"/>
                <w:lang w:val="lt-LT"/>
              </w:rPr>
              <w:t xml:space="preserve">paskelbti informaciją apie Muziejaus renginius, vykdomus projektus.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422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2. Reklama (nurodyti projektus, kuriems planuojamos specialios reklamos kampanijos)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2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3. Kita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Muziejaus draugų ir rėmėjų paieška.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276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VIII. METODINĖ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65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Konsultacijos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metodinė pagalba įvairiais muziejaus veiklos kausimais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t</w:t>
            </w:r>
            <w:r w:rsidRPr="00C107A1">
              <w:rPr>
                <w:sz w:val="24"/>
                <w:szCs w:val="24"/>
                <w:lang w:val="lt-LT"/>
              </w:rPr>
              <w:t>eikti konsultacijas vyskupo Motiejaus Valančiaus</w:t>
            </w:r>
            <w:r>
              <w:rPr>
                <w:sz w:val="24"/>
                <w:szCs w:val="24"/>
                <w:lang w:val="lt-LT"/>
              </w:rPr>
              <w:t xml:space="preserve"> gyvenimo ir </w:t>
            </w:r>
            <w:r w:rsidRPr="00C107A1">
              <w:rPr>
                <w:sz w:val="24"/>
                <w:szCs w:val="24"/>
                <w:lang w:val="lt-LT"/>
              </w:rPr>
              <w:t xml:space="preserve"> veiklos klausimais.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458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Metodinės medžiagos rengimas (tema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tikslinė grupė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sklaidos būdai)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31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color w:val="000000"/>
                <w:sz w:val="24"/>
                <w:szCs w:val="24"/>
                <w:lang w:val="lt-LT"/>
              </w:rPr>
            </w:pPr>
            <w:r w:rsidRPr="006E2B3D">
              <w:rPr>
                <w:color w:val="000000"/>
                <w:sz w:val="24"/>
                <w:szCs w:val="24"/>
                <w:lang w:val="lt-LT"/>
              </w:rPr>
              <w:t>3. Darbas su stažuotojais ir praktikantais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25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IX. MUZIEJAUS DARBUOTOJAI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54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lastRenderedPageBreak/>
              <w:t>1. Kadrų kaita (numatomų priimti/ atleisti darbuotojų skaičius)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Nenumatoma. 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</w:tc>
      </w:tr>
      <w:tr w:rsidR="00DD2141" w:rsidRPr="00C107A1" w:rsidTr="00AE038B">
        <w:trPr>
          <w:trHeight w:val="1007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Kvalifikacijos kėlimas (darbuotojų studijos aukštosiose mokyklose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kursuose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konferencijose Lietuvoje ir užsienyje (temos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vieta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dalyviai)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Pradėti išlyginamąsias studijas Klaipėdos universitete. </w:t>
            </w: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galimybes dalyvauti seminaruose, kursuose.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V.Čėsnienė</w:t>
            </w:r>
          </w:p>
        </w:tc>
      </w:tr>
      <w:tr w:rsidR="00DD2141" w:rsidRPr="00C107A1" w:rsidTr="00AE038B">
        <w:trPr>
          <w:trHeight w:val="451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X. MUZIEJAUS PAGALBINIŲ PADALINIŲ VEIKLA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419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Sutvarkyti dvi skaitmenines bylas</w:t>
            </w:r>
            <w:r w:rsidRPr="009C1FFA">
              <w:rPr>
                <w:bCs/>
                <w:color w:val="000000"/>
                <w:lang w:val="lt-LT"/>
              </w:rPr>
              <w:t>: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Archyvo byla Nr. 20  „P</w:t>
            </w:r>
            <w:r w:rsidRPr="004D486D">
              <w:rPr>
                <w:sz w:val="24"/>
                <w:szCs w:val="24"/>
                <w:lang w:val="lt-LT"/>
              </w:rPr>
              <w:t>rojektai, parodos, renginiai</w:t>
            </w:r>
            <w:r>
              <w:rPr>
                <w:sz w:val="24"/>
                <w:szCs w:val="24"/>
                <w:lang w:val="lt-LT"/>
              </w:rPr>
              <w:t xml:space="preserve"> 2013 metais“.</w:t>
            </w:r>
          </w:p>
          <w:p w:rsidR="00DD2141" w:rsidRPr="000C6B06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Pr="00A90A8E">
              <w:rPr>
                <w:sz w:val="24"/>
                <w:szCs w:val="24"/>
                <w:lang w:val="lt-LT"/>
              </w:rPr>
              <w:t xml:space="preserve">Archyvo byla  Nr. 21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A90A8E">
              <w:rPr>
                <w:sz w:val="24"/>
                <w:szCs w:val="24"/>
                <w:lang w:val="lt-LT"/>
              </w:rPr>
              <w:t>Muziejaus ekspozicijų teminiai planai 2013</w:t>
            </w:r>
            <w:r>
              <w:rPr>
                <w:sz w:val="24"/>
                <w:szCs w:val="24"/>
                <w:lang w:val="lt-LT"/>
              </w:rPr>
              <w:t xml:space="preserve"> metais“.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– 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Pr="00C107A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660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>2. Ūkinė veikla (statybos ir remonto darbai</w:t>
            </w:r>
            <w:smartTag w:uri="urn:schemas-microsoft-com:office:smarttags" w:element="PersonName">
              <w:r w:rsidRPr="006E2B3D">
                <w:rPr>
                  <w:sz w:val="24"/>
                  <w:szCs w:val="24"/>
                  <w:lang w:val="lt-LT"/>
                </w:rPr>
                <w:t>,</w:t>
              </w:r>
            </w:smartTag>
            <w:r w:rsidRPr="006E2B3D">
              <w:rPr>
                <w:sz w:val="24"/>
                <w:szCs w:val="24"/>
                <w:lang w:val="lt-LT"/>
              </w:rPr>
              <w:t xml:space="preserve"> kiti ūkiniai darbai)</w:t>
            </w:r>
          </w:p>
        </w:tc>
        <w:tc>
          <w:tcPr>
            <w:tcW w:w="8788" w:type="dxa"/>
            <w:shd w:val="clear" w:color="auto" w:fill="auto"/>
          </w:tcPr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2014 metais atlikti šiuos darbus</w:t>
            </w:r>
            <w:r w:rsidRPr="00010589">
              <w:rPr>
                <w:bCs/>
                <w:color w:val="000000"/>
              </w:rPr>
              <w:t>: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Restauruoti M. Valančiaus ąžuolyne  esančius lauko suolus (3 vnt.).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Padaryti stendą ,,Vyskupo  Motiejaus Valančiaus ąžuolynas‘‘.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Restauruoti senovinę žiogrių tvorą (180 m).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Atnaujinti Muziejaus gėlių darželius  senoviniais augalais. 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Restauruoti </w:t>
            </w:r>
            <w:proofErr w:type="spellStart"/>
            <w:r>
              <w:rPr>
                <w:sz w:val="24"/>
                <w:szCs w:val="24"/>
                <w:lang w:val="lt-LT"/>
              </w:rPr>
              <w:t>įkypą</w:t>
            </w:r>
            <w:r w:rsidR="00834D25">
              <w:rPr>
                <w:sz w:val="24"/>
                <w:szCs w:val="24"/>
                <w:lang w:val="lt-LT"/>
              </w:rPr>
              <w:t>ją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tvorą  (250 m).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Perdažyti žaidimų aikštelėje esančius 2 dvigubus lauko suolus, sūpykles,  </w:t>
            </w:r>
            <w:proofErr w:type="spellStart"/>
            <w:r>
              <w:rPr>
                <w:sz w:val="24"/>
                <w:szCs w:val="24"/>
                <w:lang w:val="lt-LT"/>
              </w:rPr>
              <w:t>sukynes</w:t>
            </w:r>
            <w:proofErr w:type="spellEnd"/>
            <w:r>
              <w:rPr>
                <w:sz w:val="24"/>
                <w:szCs w:val="24"/>
                <w:lang w:val="lt-LT"/>
              </w:rPr>
              <w:t>, pagrindinius vartus, Muziejaus reklaminę iškabą, du šulinius, skulptūrą ,,Angeliukas“, tiltelį.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Prižiūrėti Muziejaus sodybos, M. Valančiaus paminklo, ąžuolyno teritorijas.</w:t>
            </w:r>
          </w:p>
          <w:p w:rsidR="00DD214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 Vykdyti įstaigos funkcionavimui būtinų prekių ir paslaugų viešuosius pirkimus, stebėti pastatų priešgaisrinę būklę, atlikti įstaigos trumpalaikio ir ilgalaikio turto metinę inventorizaciją.</w:t>
            </w:r>
          </w:p>
        </w:tc>
        <w:tc>
          <w:tcPr>
            <w:tcW w:w="1134" w:type="dxa"/>
            <w:shd w:val="clear" w:color="auto" w:fill="auto"/>
          </w:tcPr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C20B53">
              <w:rPr>
                <w:rStyle w:val="Grietas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C20B53">
              <w:rPr>
                <w:rStyle w:val="Grietas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>
              <w:rPr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  <w:p w:rsidR="00DD214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A.Čėsna</w:t>
            </w: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Default="00DD2141" w:rsidP="00AE038B">
            <w:pPr>
              <w:ind w:left="360"/>
              <w:rPr>
                <w:sz w:val="24"/>
                <w:szCs w:val="24"/>
                <w:lang w:val="lt-LT"/>
              </w:rPr>
            </w:pPr>
          </w:p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  <w:tr w:rsidR="00DD2141" w:rsidRPr="00C107A1" w:rsidTr="00AE038B">
        <w:trPr>
          <w:trHeight w:val="175"/>
        </w:trPr>
        <w:tc>
          <w:tcPr>
            <w:tcW w:w="4112" w:type="dxa"/>
            <w:shd w:val="clear" w:color="auto" w:fill="auto"/>
          </w:tcPr>
          <w:p w:rsidR="00DD2141" w:rsidRPr="006E2B3D" w:rsidRDefault="00DD2141" w:rsidP="00AE038B">
            <w:pPr>
              <w:rPr>
                <w:sz w:val="24"/>
                <w:szCs w:val="24"/>
                <w:lang w:val="lt-LT"/>
              </w:rPr>
            </w:pPr>
            <w:r w:rsidRPr="006E2B3D">
              <w:rPr>
                <w:sz w:val="24"/>
                <w:szCs w:val="24"/>
                <w:lang w:val="lt-LT"/>
              </w:rPr>
              <w:t xml:space="preserve">3. Kitų padalinių darbas </w:t>
            </w:r>
          </w:p>
        </w:tc>
        <w:tc>
          <w:tcPr>
            <w:tcW w:w="878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2141" w:rsidRPr="00C107A1" w:rsidRDefault="00DD2141" w:rsidP="00AE038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D2141" w:rsidRPr="00E50359" w:rsidRDefault="00DD2141" w:rsidP="00DD2141">
      <w:pPr>
        <w:rPr>
          <w:lang w:val="lt-LT"/>
        </w:rPr>
      </w:pPr>
    </w:p>
    <w:p w:rsidR="008C330B" w:rsidRDefault="00DD2141">
      <w:r>
        <w:rPr>
          <w:lang w:val="lt-LT"/>
        </w:rPr>
        <w:t xml:space="preserve">                  </w:t>
      </w:r>
      <w:r w:rsidRPr="00BF03AF">
        <w:rPr>
          <w:sz w:val="24"/>
          <w:szCs w:val="24"/>
          <w:lang w:val="lt-LT"/>
        </w:rPr>
        <w:tab/>
      </w:r>
      <w:r w:rsidRPr="00BF03AF">
        <w:rPr>
          <w:sz w:val="24"/>
          <w:szCs w:val="24"/>
          <w:lang w:val="lt-LT"/>
        </w:rPr>
        <w:tab/>
      </w:r>
      <w:r w:rsidRPr="00BF03AF">
        <w:rPr>
          <w:sz w:val="24"/>
          <w:szCs w:val="24"/>
          <w:lang w:val="lt-LT"/>
        </w:rPr>
        <w:tab/>
      </w:r>
      <w:r w:rsidRPr="00BF03AF">
        <w:rPr>
          <w:sz w:val="24"/>
          <w:szCs w:val="24"/>
          <w:lang w:val="lt-LT"/>
        </w:rPr>
        <w:tab/>
      </w:r>
      <w:r w:rsidRPr="00BF03AF">
        <w:rPr>
          <w:sz w:val="24"/>
          <w:szCs w:val="24"/>
          <w:lang w:val="lt-LT"/>
        </w:rPr>
        <w:tab/>
      </w:r>
      <w:r>
        <w:rPr>
          <w:lang w:val="lt-LT"/>
        </w:rPr>
        <w:t>__________________________________________</w:t>
      </w:r>
    </w:p>
    <w:sectPr w:rsidR="008C330B" w:rsidSect="00DD2141">
      <w:headerReference w:type="even" r:id="rId8"/>
      <w:headerReference w:type="default" r:id="rId9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20" w:rsidRDefault="00A01020">
      <w:r>
        <w:separator/>
      </w:r>
    </w:p>
  </w:endnote>
  <w:endnote w:type="continuationSeparator" w:id="0">
    <w:p w:rsidR="00A01020" w:rsidRDefault="00A0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20" w:rsidRDefault="00A01020">
      <w:r>
        <w:separator/>
      </w:r>
    </w:p>
  </w:footnote>
  <w:footnote w:type="continuationSeparator" w:id="0">
    <w:p w:rsidR="00A01020" w:rsidRDefault="00A0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CA" w:rsidRDefault="00DD2141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70FCA" w:rsidRDefault="00A0102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CA" w:rsidRDefault="00DD2141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55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70FCA" w:rsidRDefault="00A0102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41"/>
    <w:rsid w:val="001650A2"/>
    <w:rsid w:val="002C60AC"/>
    <w:rsid w:val="003D16F6"/>
    <w:rsid w:val="003E0B30"/>
    <w:rsid w:val="00575565"/>
    <w:rsid w:val="00676634"/>
    <w:rsid w:val="00834D25"/>
    <w:rsid w:val="00873B08"/>
    <w:rsid w:val="00A01020"/>
    <w:rsid w:val="00B27D73"/>
    <w:rsid w:val="00C36D73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Antrat2">
    <w:name w:val="heading 2"/>
    <w:basedOn w:val="prastasis"/>
    <w:next w:val="prastasis"/>
    <w:link w:val="Antrat2Diagrama"/>
    <w:qFormat/>
    <w:rsid w:val="00DD2141"/>
    <w:pPr>
      <w:keepNext/>
      <w:outlineLvl w:val="1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D214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Hipersaitas">
    <w:name w:val="Hyperlink"/>
    <w:rsid w:val="00DD2141"/>
    <w:rPr>
      <w:color w:val="0000FF"/>
      <w:u w:val="single"/>
    </w:rPr>
  </w:style>
  <w:style w:type="paragraph" w:styleId="Antrats">
    <w:name w:val="header"/>
    <w:basedOn w:val="prastasis"/>
    <w:link w:val="AntratsDiagrama"/>
    <w:rsid w:val="00DD2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D214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DD2141"/>
  </w:style>
  <w:style w:type="character" w:customStyle="1" w:styleId="anonsas1">
    <w:name w:val="anonsas1"/>
    <w:rsid w:val="00DD2141"/>
    <w:rPr>
      <w:rFonts w:ascii="Verdana" w:hAnsi="Verdana" w:hint="default"/>
      <w:sz w:val="15"/>
      <w:szCs w:val="15"/>
    </w:rPr>
  </w:style>
  <w:style w:type="character" w:styleId="Grietas">
    <w:name w:val="Strong"/>
    <w:uiPriority w:val="22"/>
    <w:qFormat/>
    <w:rsid w:val="00DD2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Antrat2">
    <w:name w:val="heading 2"/>
    <w:basedOn w:val="prastasis"/>
    <w:next w:val="prastasis"/>
    <w:link w:val="Antrat2Diagrama"/>
    <w:qFormat/>
    <w:rsid w:val="00DD2141"/>
    <w:pPr>
      <w:keepNext/>
      <w:outlineLvl w:val="1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D214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Hipersaitas">
    <w:name w:val="Hyperlink"/>
    <w:rsid w:val="00DD2141"/>
    <w:rPr>
      <w:color w:val="0000FF"/>
      <w:u w:val="single"/>
    </w:rPr>
  </w:style>
  <w:style w:type="paragraph" w:styleId="Antrats">
    <w:name w:val="header"/>
    <w:basedOn w:val="prastasis"/>
    <w:link w:val="AntratsDiagrama"/>
    <w:rsid w:val="00DD2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D214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DD2141"/>
  </w:style>
  <w:style w:type="character" w:customStyle="1" w:styleId="anonsas1">
    <w:name w:val="anonsas1"/>
    <w:rsid w:val="00DD2141"/>
    <w:rPr>
      <w:rFonts w:ascii="Verdana" w:hAnsi="Verdana" w:hint="default"/>
      <w:sz w:val="15"/>
      <w:szCs w:val="15"/>
    </w:rPr>
  </w:style>
  <w:style w:type="character" w:styleId="Grietas">
    <w:name w:val="Strong"/>
    <w:uiPriority w:val="22"/>
    <w:qFormat/>
    <w:rsid w:val="00DD2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sren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8666</Words>
  <Characters>4940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2014-02-12T11:30:00Z</dcterms:created>
  <dcterms:modified xsi:type="dcterms:W3CDTF">2014-03-03T09:23:00Z</dcterms:modified>
</cp:coreProperties>
</file>