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03" w:rsidRDefault="00823D03" w:rsidP="0095193E">
      <w:pPr>
        <w:jc w:val="center"/>
        <w:outlineLvl w:val="0"/>
        <w:rPr>
          <w:rFonts w:ascii="Times New Roman" w:hAnsi="Times New Roman" w:cs="Times New Roman"/>
          <w:b/>
        </w:rPr>
      </w:pPr>
    </w:p>
    <w:p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DF6C5B">
        <w:rPr>
          <w:rFonts w:ascii="Times New Roman" w:hAnsi="Times New Roman" w:cs="Times New Roman"/>
          <w:b/>
        </w:rPr>
        <w:t>4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618"/>
        <w:gridCol w:w="1666"/>
      </w:tblGrid>
      <w:tr w:rsidR="0095193E" w:rsidRPr="003D1F0E" w:rsidTr="00F43D49">
        <w:tc>
          <w:tcPr>
            <w:tcW w:w="570" w:type="dxa"/>
          </w:tcPr>
          <w:p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:rsidR="0095193E" w:rsidRPr="00A67623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 Lt</w:t>
            </w:r>
          </w:p>
        </w:tc>
      </w:tr>
      <w:tr w:rsidR="0095193E" w:rsidRPr="00333E7A" w:rsidTr="00F43D49">
        <w:tc>
          <w:tcPr>
            <w:tcW w:w="570" w:type="dxa"/>
          </w:tcPr>
          <w:p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CF5DA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CF5DA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:rsidR="0095193E" w:rsidRPr="00417704" w:rsidRDefault="00E41EC7" w:rsidP="00B60B5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157497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:rsidR="0095193E" w:rsidRPr="00417704" w:rsidRDefault="001134F7" w:rsidP="00E3483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140000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:rsidR="0095193E" w:rsidRPr="00417704" w:rsidRDefault="001134F7" w:rsidP="00B60B5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50000</w:t>
            </w:r>
          </w:p>
        </w:tc>
      </w:tr>
      <w:tr w:rsidR="00E3483B" w:rsidRPr="003D1F0E" w:rsidTr="00F43D49">
        <w:tc>
          <w:tcPr>
            <w:tcW w:w="570" w:type="dxa"/>
          </w:tcPr>
          <w:p w:rsidR="00E3483B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7618" w:type="dxa"/>
          </w:tcPr>
          <w:p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:rsidR="00E3483B" w:rsidRPr="00417704" w:rsidRDefault="00E41EC7" w:rsidP="00B60B5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</w:t>
            </w:r>
            <w:r w:rsidR="001134F7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:rsidR="0095193E" w:rsidRPr="00417704" w:rsidRDefault="001134F7" w:rsidP="00E41EC7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</w:t>
            </w:r>
            <w:r w:rsidR="00E41EC7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62497</w:t>
            </w:r>
          </w:p>
        </w:tc>
      </w:tr>
    </w:tbl>
    <w:p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2"/>
        <w:gridCol w:w="1666"/>
      </w:tblGrid>
      <w:tr w:rsidR="006A7C4B" w:rsidRPr="00E15F5C" w:rsidTr="00E41EC7">
        <w:trPr>
          <w:trHeight w:val="483"/>
        </w:trPr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Numatoma skirti  lėšų, Lt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32814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 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įžuvinimas</w:t>
            </w:r>
            <w:proofErr w:type="spellEnd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  <w:r w:rsidR="00592C36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A1E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8238B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tos aplinkos</w:t>
            </w:r>
            <w:r w:rsidR="00794E7C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 w:rsidR="00794E7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apsaugos priemonė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(20000 tūkst. Lt  -ekstremalių situacijų padarini</w:t>
            </w:r>
            <w:r w:rsidR="008238B6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ams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likvid</w:t>
            </w:r>
            <w:r w:rsidR="008238B6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uot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23814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  <w:r w:rsidR="0091231E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356BC9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DA5835" w:rsidP="00DA5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DA5835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Atliekų konteinerių aikštelių įrengimas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24A11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956548" w:rsidRPr="00E15F5C" w:rsidTr="00E41EC7">
        <w:tc>
          <w:tcPr>
            <w:tcW w:w="576" w:type="dxa"/>
          </w:tcPr>
          <w:p w:rsidR="00956548" w:rsidRDefault="00956548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956548" w:rsidRPr="001D1B3B" w:rsidRDefault="00956548" w:rsidP="00DA5835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D1B3B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Atliekų surinkimo priemonėms įsigyti </w:t>
            </w:r>
            <w:r w:rsidR="00DA5835">
              <w:rPr>
                <w:rFonts w:ascii="Times New Roman" w:hAnsi="Times New Roman"/>
                <w:sz w:val="22"/>
                <w:szCs w:val="22"/>
                <w:lang w:val="lt-LT" w:eastAsia="lt-LT"/>
              </w:rPr>
              <w:t>(konteinerių pirkimas</w:t>
            </w:r>
            <w:r w:rsidR="001D1B3B" w:rsidRPr="001D1B3B">
              <w:rPr>
                <w:rFonts w:ascii="Times New Roman" w:hAnsi="Times New Roman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48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  <w:r w:rsidR="00124A11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3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0A1E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F448ED" w:rsidP="00F448E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Aplinkos tvarkymo akcijų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A583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4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</w:t>
            </w:r>
            <w:proofErr w:type="spellStart"/>
            <w:r w:rsidR="00C93689" w:rsidRPr="000A1EC2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>, prevencinės, aplinkos atkūrimo priemonė</w:t>
            </w:r>
            <w:r w:rsidRPr="0041770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DA5835">
              <w:rPr>
                <w:rFonts w:ascii="Times New Roman" w:hAnsi="Times New Roman"/>
                <w:sz w:val="22"/>
                <w:szCs w:val="22"/>
              </w:rPr>
              <w:t>7365</w:t>
            </w:r>
          </w:p>
        </w:tc>
      </w:tr>
      <w:tr w:rsidR="00F70FC6" w:rsidRPr="00E15F5C" w:rsidTr="00E41EC7">
        <w:tc>
          <w:tcPr>
            <w:tcW w:w="576" w:type="dxa"/>
          </w:tcPr>
          <w:p w:rsidR="00F70FC6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30DE4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70FC6" w:rsidRPr="00417704" w:rsidRDefault="00917EE0" w:rsidP="00F70FC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A</w:t>
            </w:r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>plinkos</w:t>
            </w:r>
            <w:proofErr w:type="spellEnd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>priemonės</w:t>
            </w:r>
            <w:proofErr w:type="spellEnd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>pagal</w:t>
            </w:r>
            <w:proofErr w:type="spellEnd"/>
            <w:r w:rsidR="00F70FC6"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82F80"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="00C82F80"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82F80" w:rsidRPr="00417704">
              <w:rPr>
                <w:rFonts w:ascii="Times New Roman" w:eastAsia="TimesNewRoman" w:hAnsi="Times New Roman"/>
                <w:sz w:val="22"/>
                <w:szCs w:val="22"/>
              </w:rPr>
              <w:t>programą</w:t>
            </w:r>
            <w:proofErr w:type="spellEnd"/>
            <w:r w:rsidR="00356BC9" w:rsidRPr="00417704">
              <w:rPr>
                <w:rFonts w:ascii="Times New Roman" w:eastAsia="TimesNewRoman" w:hAnsi="Times New Roman"/>
                <w:sz w:val="22"/>
                <w:szCs w:val="22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C6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="00C46479">
              <w:rPr>
                <w:rFonts w:ascii="Times New Roman" w:hAnsi="Times New Roman"/>
                <w:sz w:val="22"/>
                <w:szCs w:val="22"/>
                <w:lang w:val="en-US"/>
              </w:rPr>
              <w:t>0000</w:t>
            </w:r>
          </w:p>
        </w:tc>
      </w:tr>
      <w:tr w:rsidR="00C46479" w:rsidRPr="00E15F5C" w:rsidTr="00E41EC7">
        <w:tc>
          <w:tcPr>
            <w:tcW w:w="576" w:type="dxa"/>
          </w:tcPr>
          <w:p w:rsidR="00C46479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C46479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C46479" w:rsidRDefault="008238B6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E</w:t>
            </w:r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rozijos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pažeisto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Minijos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upės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kranto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sutvark</w:t>
            </w:r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ymo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dokumentacijai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parengti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geologiniams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tyrimams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atlikti</w:t>
            </w:r>
            <w:proofErr w:type="spellEnd"/>
            <w:r w:rsidR="00C46479">
              <w:rPr>
                <w:rFonts w:ascii="Times New Roman" w:eastAsia="TimesNewRoman" w:hAnsi="Times New Roman"/>
                <w:sz w:val="22"/>
                <w:szCs w:val="22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F30DE4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37365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5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485CA0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0A1EC2" w:rsidP="000A1EC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informavimas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aplinkosauginės spaudos prenumerata rajono švietimo ir kultūros įstaigoms.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485CA0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informavimo priemonių</w:t>
            </w:r>
            <w:r w:rsidR="00124A1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-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lankstinukų, plakatų</w:t>
            </w:r>
            <w:r w:rsidR="00124A11">
              <w:rPr>
                <w:rFonts w:ascii="Times New Roman" w:hAnsi="Times New Roman"/>
                <w:sz w:val="22"/>
                <w:szCs w:val="22"/>
                <w:lang w:val="lt-LT"/>
              </w:rPr>
              <w:t>, priemonių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aplinkosaugine tema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485CA0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6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Želdynų ir želdinių apsaugos, tvarkymo, būklės </w:t>
            </w:r>
            <w:proofErr w:type="spellStart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126DB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Kretingos </w:t>
            </w:r>
            <w:r w:rsidR="00543835"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F4592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126DB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7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B258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8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B258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68818</w:t>
            </w:r>
          </w:p>
        </w:tc>
      </w:tr>
    </w:tbl>
    <w:p w:rsidR="008E4B4D" w:rsidRDefault="008E4B4D" w:rsidP="006D034B">
      <w:pPr>
        <w:spacing w:after="120"/>
        <w:jc w:val="center"/>
      </w:pPr>
    </w:p>
    <w:p w:rsidR="008E4B4D" w:rsidRDefault="008E4B4D" w:rsidP="006D034B">
      <w:pPr>
        <w:spacing w:after="120"/>
        <w:jc w:val="center"/>
      </w:pPr>
      <w:r>
        <w:t>_________________________________</w:t>
      </w:r>
      <w:bookmarkStart w:id="0" w:name="_GoBack"/>
      <w:bookmarkEnd w:id="0"/>
    </w:p>
    <w:sectPr w:rsidR="008E4B4D" w:rsidSect="00D757D1">
      <w:headerReference w:type="default" r:id="rId8"/>
      <w:pgSz w:w="11906" w:h="16838"/>
      <w:pgMar w:top="280" w:right="567" w:bottom="567" w:left="1701" w:header="567" w:footer="11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2C" w:rsidRDefault="004C7C2C">
      <w:r>
        <w:separator/>
      </w:r>
    </w:p>
  </w:endnote>
  <w:endnote w:type="continuationSeparator" w:id="0">
    <w:p w:rsidR="004C7C2C" w:rsidRDefault="004C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2C" w:rsidRDefault="004C7C2C">
      <w:r>
        <w:separator/>
      </w:r>
    </w:p>
  </w:footnote>
  <w:footnote w:type="continuationSeparator" w:id="0">
    <w:p w:rsidR="004C7C2C" w:rsidRDefault="004C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82" w:rsidRPr="008E4B4D" w:rsidRDefault="00573082" w:rsidP="00573082">
    <w:pPr>
      <w:ind w:left="3888" w:firstLine="1296"/>
    </w:pPr>
    <w:r w:rsidRPr="008E4B4D">
      <w:t>PATVIRTINTA</w:t>
    </w:r>
  </w:p>
  <w:p w:rsidR="00573082" w:rsidRPr="008E4B4D" w:rsidRDefault="00573082" w:rsidP="00573082">
    <w:r w:rsidRPr="008E4B4D">
      <w:tab/>
    </w:r>
    <w:r w:rsidRPr="008E4B4D">
      <w:tab/>
    </w:r>
    <w:r w:rsidRPr="008E4B4D">
      <w:tab/>
    </w:r>
    <w:r w:rsidRPr="008E4B4D">
      <w:tab/>
      <w:t>Kretingos rajono savivaldybės tarybos</w:t>
    </w:r>
  </w:p>
  <w:p w:rsidR="00573082" w:rsidRPr="008E4B4D" w:rsidRDefault="00573082" w:rsidP="00573082">
    <w:r w:rsidRPr="008E4B4D">
      <w:tab/>
    </w:r>
    <w:r w:rsidRPr="008E4B4D">
      <w:tab/>
    </w:r>
    <w:r w:rsidRPr="008E4B4D">
      <w:tab/>
    </w:r>
    <w:r w:rsidRPr="008E4B4D">
      <w:tab/>
      <w:t>201</w:t>
    </w:r>
    <w:r w:rsidR="00FD139E" w:rsidRPr="008E4B4D">
      <w:t>4</w:t>
    </w:r>
    <w:r w:rsidRPr="008E4B4D">
      <w:t xml:space="preserve"> m. </w:t>
    </w:r>
    <w:r w:rsidR="00275B1E" w:rsidRPr="008E4B4D">
      <w:t>vasario</w:t>
    </w:r>
    <w:r w:rsidR="00C86604" w:rsidRPr="008E4B4D">
      <w:t xml:space="preserve"> </w:t>
    </w:r>
    <w:r w:rsidR="00823D03" w:rsidRPr="008E4B4D">
      <w:t>27</w:t>
    </w:r>
    <w:r w:rsidR="00C86604" w:rsidRPr="008E4B4D">
      <w:t xml:space="preserve"> </w:t>
    </w:r>
    <w:r w:rsidRPr="008E4B4D">
      <w:t>d. sprendimu Nr.</w:t>
    </w:r>
    <w:r w:rsidR="00823D03" w:rsidRPr="008E4B4D">
      <w:t>T2-</w:t>
    </w:r>
    <w:r w:rsidR="008E4B4D" w:rsidRPr="008E4B4D">
      <w:t>49</w:t>
    </w:r>
  </w:p>
  <w:p w:rsidR="00D757D1" w:rsidRDefault="00D757D1" w:rsidP="005730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3E"/>
    <w:rsid w:val="00027D51"/>
    <w:rsid w:val="0004710F"/>
    <w:rsid w:val="000A1EC2"/>
    <w:rsid w:val="000A6DD3"/>
    <w:rsid w:val="000F17AC"/>
    <w:rsid w:val="000F731F"/>
    <w:rsid w:val="001134F7"/>
    <w:rsid w:val="0012028F"/>
    <w:rsid w:val="00124A11"/>
    <w:rsid w:val="00150150"/>
    <w:rsid w:val="00162245"/>
    <w:rsid w:val="00175D99"/>
    <w:rsid w:val="00180D27"/>
    <w:rsid w:val="001910B7"/>
    <w:rsid w:val="001B59D1"/>
    <w:rsid w:val="001D1B3B"/>
    <w:rsid w:val="001E066C"/>
    <w:rsid w:val="001F6810"/>
    <w:rsid w:val="001F713D"/>
    <w:rsid w:val="00200109"/>
    <w:rsid w:val="00223F9A"/>
    <w:rsid w:val="00246931"/>
    <w:rsid w:val="00264CDF"/>
    <w:rsid w:val="00275B1E"/>
    <w:rsid w:val="00285621"/>
    <w:rsid w:val="002B2D9F"/>
    <w:rsid w:val="002E3EAF"/>
    <w:rsid w:val="003336C7"/>
    <w:rsid w:val="00356BC9"/>
    <w:rsid w:val="003B1F57"/>
    <w:rsid w:val="003E7CBB"/>
    <w:rsid w:val="00417704"/>
    <w:rsid w:val="0042673A"/>
    <w:rsid w:val="00445934"/>
    <w:rsid w:val="00457FC4"/>
    <w:rsid w:val="0046521C"/>
    <w:rsid w:val="00474FF2"/>
    <w:rsid w:val="00485CA0"/>
    <w:rsid w:val="004C29AE"/>
    <w:rsid w:val="004C7C2C"/>
    <w:rsid w:val="004D68C2"/>
    <w:rsid w:val="00513F0C"/>
    <w:rsid w:val="00543835"/>
    <w:rsid w:val="00547152"/>
    <w:rsid w:val="00573082"/>
    <w:rsid w:val="0057310A"/>
    <w:rsid w:val="00592C36"/>
    <w:rsid w:val="005C31AD"/>
    <w:rsid w:val="00647974"/>
    <w:rsid w:val="00657AA6"/>
    <w:rsid w:val="006758E6"/>
    <w:rsid w:val="00685F40"/>
    <w:rsid w:val="00691171"/>
    <w:rsid w:val="0069247F"/>
    <w:rsid w:val="006A7C4B"/>
    <w:rsid w:val="006B2B23"/>
    <w:rsid w:val="006D034B"/>
    <w:rsid w:val="006E5385"/>
    <w:rsid w:val="006F10E4"/>
    <w:rsid w:val="00701664"/>
    <w:rsid w:val="00707B83"/>
    <w:rsid w:val="00715A90"/>
    <w:rsid w:val="0072161C"/>
    <w:rsid w:val="00794E7C"/>
    <w:rsid w:val="007D3E57"/>
    <w:rsid w:val="007D5A9B"/>
    <w:rsid w:val="007E69CB"/>
    <w:rsid w:val="007F0C01"/>
    <w:rsid w:val="008238B6"/>
    <w:rsid w:val="00823D03"/>
    <w:rsid w:val="008467F8"/>
    <w:rsid w:val="00884920"/>
    <w:rsid w:val="008D1083"/>
    <w:rsid w:val="008E4B4D"/>
    <w:rsid w:val="00904BB4"/>
    <w:rsid w:val="0091231E"/>
    <w:rsid w:val="00917EE0"/>
    <w:rsid w:val="009251C6"/>
    <w:rsid w:val="00950C29"/>
    <w:rsid w:val="0095193E"/>
    <w:rsid w:val="00956548"/>
    <w:rsid w:val="00974230"/>
    <w:rsid w:val="009A361D"/>
    <w:rsid w:val="009F1AB8"/>
    <w:rsid w:val="00AE30FB"/>
    <w:rsid w:val="00B258BC"/>
    <w:rsid w:val="00B44FA3"/>
    <w:rsid w:val="00B4577F"/>
    <w:rsid w:val="00B53C47"/>
    <w:rsid w:val="00B56EB8"/>
    <w:rsid w:val="00B60B5E"/>
    <w:rsid w:val="00B71520"/>
    <w:rsid w:val="00B9001B"/>
    <w:rsid w:val="00BA0EDF"/>
    <w:rsid w:val="00BA2A09"/>
    <w:rsid w:val="00BA7FC9"/>
    <w:rsid w:val="00BB324E"/>
    <w:rsid w:val="00C0505C"/>
    <w:rsid w:val="00C46479"/>
    <w:rsid w:val="00C82F80"/>
    <w:rsid w:val="00C86604"/>
    <w:rsid w:val="00C93689"/>
    <w:rsid w:val="00CB1DC4"/>
    <w:rsid w:val="00CB6E08"/>
    <w:rsid w:val="00CF5DAF"/>
    <w:rsid w:val="00D20274"/>
    <w:rsid w:val="00D47150"/>
    <w:rsid w:val="00D757D1"/>
    <w:rsid w:val="00D75FB7"/>
    <w:rsid w:val="00D9441B"/>
    <w:rsid w:val="00D9708A"/>
    <w:rsid w:val="00DA5835"/>
    <w:rsid w:val="00DF6C5B"/>
    <w:rsid w:val="00DF7554"/>
    <w:rsid w:val="00DF7AE2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75CD1"/>
    <w:rsid w:val="00E96C35"/>
    <w:rsid w:val="00EB7D1D"/>
    <w:rsid w:val="00F10721"/>
    <w:rsid w:val="00F21329"/>
    <w:rsid w:val="00F30DE4"/>
    <w:rsid w:val="00F43D49"/>
    <w:rsid w:val="00F448ED"/>
    <w:rsid w:val="00F45927"/>
    <w:rsid w:val="00F70FC6"/>
    <w:rsid w:val="00F746FC"/>
    <w:rsid w:val="00F74DD2"/>
    <w:rsid w:val="00F7578C"/>
    <w:rsid w:val="00FA6BF5"/>
    <w:rsid w:val="00FC6DE9"/>
    <w:rsid w:val="00FD139E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BC92-F33A-4745-B830-C7A45369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2014-02-10T09:54:00Z</cp:lastPrinted>
  <dcterms:created xsi:type="dcterms:W3CDTF">2014-02-21T09:34:00Z</dcterms:created>
  <dcterms:modified xsi:type="dcterms:W3CDTF">2014-03-03T08:29:00Z</dcterms:modified>
</cp:coreProperties>
</file>