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78" w:rsidRDefault="00254178" w:rsidP="00C57A57">
      <w:pPr>
        <w:outlineLvl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178" w:rsidRDefault="00254178" w:rsidP="00C57A57"/>
    <w:p w:rsidR="00254178" w:rsidRDefault="00AE20B1" w:rsidP="00C57A57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0" t="0" r="0" b="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78" w:rsidRDefault="00254178" w:rsidP="00C57A5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254178" w:rsidRDefault="00254178" w:rsidP="00C57A5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178">
        <w:rPr>
          <w:sz w:val="28"/>
        </w:rPr>
        <w:br w:type="textWrapping" w:clear="all"/>
      </w:r>
    </w:p>
    <w:p w:rsidR="00254178" w:rsidRDefault="00254178" w:rsidP="00C57A5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254178" w:rsidRDefault="00254178" w:rsidP="00C57A57"/>
    <w:p w:rsidR="00254178" w:rsidRDefault="00254178" w:rsidP="00C57A5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254178" w:rsidRDefault="00254178" w:rsidP="00C57A57">
      <w:pPr>
        <w:jc w:val="center"/>
        <w:rPr>
          <w:b/>
        </w:rPr>
      </w:pPr>
      <w:r>
        <w:rPr>
          <w:b/>
        </w:rPr>
        <w:t xml:space="preserve">DĖL KRETINGOS RAJONO SAVIVALDYBĖS TARYBOS </w:t>
      </w:r>
      <w:smartTag w:uri="urn:schemas-microsoft-com:office:smarttags" w:element="metricconverter">
        <w:smartTagPr>
          <w:attr w:name="ProductID" w:val="2005 M"/>
        </w:smartTagPr>
        <w:r>
          <w:rPr>
            <w:b/>
          </w:rPr>
          <w:t>2005 M</w:t>
        </w:r>
      </w:smartTag>
      <w:r>
        <w:rPr>
          <w:b/>
        </w:rPr>
        <w:t xml:space="preserve">. RUGPJŪČIO 25 D. SPRENDIMO NR. T2-229 „DĖL KRETINGOS SOCIALINIŲ PASLAUGŲ CENTRO NUOSTATŲ TVIRTINIMO“ PAKEITIMO </w:t>
      </w:r>
    </w:p>
    <w:p w:rsidR="00254178" w:rsidRDefault="00254178" w:rsidP="00C57A57"/>
    <w:p w:rsidR="00254178" w:rsidRDefault="00254178" w:rsidP="00C57A57">
      <w:pPr>
        <w:jc w:val="center"/>
      </w:pPr>
      <w:r>
        <w:t xml:space="preserve">2013 m. rugpjūčio </w:t>
      </w:r>
      <w:r w:rsidR="00017F65">
        <w:t>2</w:t>
      </w:r>
      <w:r w:rsidR="008F06AE">
        <w:t>9</w:t>
      </w:r>
      <w:r>
        <w:t xml:space="preserve"> d.  Nr. </w:t>
      </w:r>
      <w:r w:rsidR="00017F65">
        <w:t>T</w:t>
      </w:r>
      <w:r w:rsidR="008F06AE">
        <w:t>2</w:t>
      </w:r>
      <w:r w:rsidR="00017F65">
        <w:t>-</w:t>
      </w:r>
      <w:r w:rsidR="007D4072">
        <w:t>212</w:t>
      </w:r>
      <w:bookmarkStart w:id="0" w:name="_GoBack"/>
      <w:bookmarkEnd w:id="0"/>
    </w:p>
    <w:p w:rsidR="00254178" w:rsidRDefault="00254178" w:rsidP="00C57A57">
      <w:pPr>
        <w:jc w:val="center"/>
      </w:pPr>
      <w:r>
        <w:t>Kretinga</w:t>
      </w:r>
    </w:p>
    <w:p w:rsidR="00254178" w:rsidRDefault="00254178" w:rsidP="00C57A57"/>
    <w:p w:rsidR="00254178" w:rsidRPr="00352F15" w:rsidRDefault="00254178" w:rsidP="00352F15">
      <w:pPr>
        <w:ind w:firstLine="1296"/>
        <w:jc w:val="both"/>
        <w:rPr>
          <w:rFonts w:ascii="BaltikaLT" w:hAnsi="BaltikaLT"/>
          <w:szCs w:val="20"/>
        </w:rPr>
      </w:pPr>
      <w:r>
        <w:rPr>
          <w:szCs w:val="20"/>
        </w:rPr>
        <w:t>Vadovaudamasi Lietuvos Respublikos vietos savivaldos įstatymo (</w:t>
      </w:r>
      <w:proofErr w:type="spellStart"/>
      <w:r>
        <w:rPr>
          <w:szCs w:val="20"/>
        </w:rPr>
        <w:t>Žin</w:t>
      </w:r>
      <w:proofErr w:type="spellEnd"/>
      <w:r>
        <w:rPr>
          <w:szCs w:val="20"/>
        </w:rPr>
        <w:t xml:space="preserve">., 1994, Nr.55-1049; 2008, Nr.113-4290) 18 straipsnio 1 dalimi, </w:t>
      </w:r>
      <w:r w:rsidRPr="00A55FB7">
        <w:t>Lietuvos Respublikos biudžetinių įstaigų įstatymo (</w:t>
      </w:r>
      <w:proofErr w:type="spellStart"/>
      <w:r w:rsidRPr="00A55FB7">
        <w:t>Žin</w:t>
      </w:r>
      <w:proofErr w:type="spellEnd"/>
      <w:r w:rsidRPr="00A55FB7">
        <w:t>., 1995, Nr.104-2322; 2010, Nr.15-699) 6 straipsnio 5 dalimi</w:t>
      </w:r>
      <w:r>
        <w:t>,</w:t>
      </w:r>
      <w:r>
        <w:rPr>
          <w:szCs w:val="20"/>
        </w:rPr>
        <w:t xml:space="preserve"> Kretingos rajono savivaldybės taryba </w:t>
      </w:r>
      <w:r>
        <w:rPr>
          <w:rFonts w:ascii="BaltikaLT" w:hAnsi="BaltikaLT"/>
          <w:szCs w:val="20"/>
        </w:rPr>
        <w:t xml:space="preserve"> n</w:t>
      </w:r>
      <w:r>
        <w:rPr>
          <w:szCs w:val="20"/>
        </w:rPr>
        <w:t xml:space="preserve"> </w:t>
      </w:r>
      <w:r>
        <w:rPr>
          <w:rFonts w:ascii="BaltikaLT" w:hAnsi="BaltikaLT"/>
          <w:szCs w:val="20"/>
        </w:rPr>
        <w:t>u s p r e n d ž i a:</w:t>
      </w:r>
    </w:p>
    <w:p w:rsidR="00254178" w:rsidRDefault="00254178" w:rsidP="004D3943">
      <w:pPr>
        <w:numPr>
          <w:ilvl w:val="0"/>
          <w:numId w:val="1"/>
        </w:numPr>
        <w:tabs>
          <w:tab w:val="left" w:pos="1418"/>
        </w:tabs>
        <w:ind w:left="0" w:firstLine="1290"/>
        <w:jc w:val="both"/>
      </w:pPr>
      <w:r>
        <w:t xml:space="preserve">Pakeisti Kretingos socialinių paslaugų centro nuostatų, patvirtintų Kretingos rajono savivaldybės tarybos </w:t>
      </w:r>
      <w:smartTag w:uri="urn:schemas-microsoft-com:office:smarttags" w:element="metricconverter">
        <w:smartTagPr>
          <w:attr w:name="ProductID" w:val="2005 M"/>
        </w:smartTagPr>
        <w:r>
          <w:t>2005 m</w:t>
        </w:r>
      </w:smartTag>
      <w:r>
        <w:t>. rugpjūčio 25 d. sprendimu Nr.T2-229 ,,Dėl Kretingos socialinių paslaugų centro nuostatų tvirtinimo“ su vėlesniais pakeitimais:</w:t>
      </w:r>
    </w:p>
    <w:p w:rsidR="00254178" w:rsidRDefault="00254178" w:rsidP="00655963">
      <w:pPr>
        <w:tabs>
          <w:tab w:val="left" w:pos="1276"/>
        </w:tabs>
        <w:jc w:val="both"/>
      </w:pPr>
      <w:r>
        <w:tab/>
        <w:t>1.1. 10. punktą ir jį išdėstyti taip:</w:t>
      </w:r>
    </w:p>
    <w:p w:rsidR="00254178" w:rsidRDefault="00254178" w:rsidP="004D3943">
      <w:pPr>
        <w:tabs>
          <w:tab w:val="left" w:pos="1440"/>
        </w:tabs>
        <w:ind w:left="1290"/>
        <w:jc w:val="both"/>
      </w:pPr>
      <w:r>
        <w:t>„10. Pagrindinės SPC veiklos rūšys:</w:t>
      </w:r>
    </w:p>
    <w:p w:rsidR="00254178" w:rsidRDefault="00254178" w:rsidP="002B792C">
      <w:pPr>
        <w:tabs>
          <w:tab w:val="left" w:pos="0"/>
        </w:tabs>
        <w:jc w:val="both"/>
        <w:outlineLvl w:val="0"/>
      </w:pPr>
      <w:r>
        <w:tab/>
      </w:r>
      <w:r>
        <w:tab/>
        <w:t>žmonių sveikatos priežiūros veikla – 86</w:t>
      </w:r>
    </w:p>
    <w:p w:rsidR="00254178" w:rsidRDefault="00254178" w:rsidP="002B792C">
      <w:pPr>
        <w:tabs>
          <w:tab w:val="left" w:pos="0"/>
        </w:tabs>
        <w:jc w:val="both"/>
        <w:outlineLvl w:val="0"/>
      </w:pPr>
      <w:r>
        <w:tab/>
      </w:r>
      <w:r>
        <w:tab/>
        <w:t>kita žmonių sveikatos priežiūros veikla -86.90</w:t>
      </w:r>
    </w:p>
    <w:p w:rsidR="00254178" w:rsidRDefault="00254178" w:rsidP="004D3943">
      <w:pPr>
        <w:tabs>
          <w:tab w:val="left" w:pos="1440"/>
        </w:tabs>
        <w:ind w:left="1290"/>
        <w:jc w:val="both"/>
      </w:pPr>
      <w:r>
        <w:tab/>
      </w:r>
      <w:r>
        <w:tab/>
        <w:t>kita stacionarinė globos veikla, kodas – 87</w:t>
      </w:r>
    </w:p>
    <w:p w:rsidR="00254178" w:rsidRDefault="00254178" w:rsidP="004D3943">
      <w:pPr>
        <w:tabs>
          <w:tab w:val="left" w:pos="1440"/>
        </w:tabs>
        <w:ind w:left="1290"/>
        <w:jc w:val="both"/>
      </w:pPr>
      <w:r>
        <w:tab/>
      </w:r>
      <w:r>
        <w:tab/>
        <w:t>kita stacionarinė globos veikla, kodas – 87.90</w:t>
      </w:r>
    </w:p>
    <w:p w:rsidR="00254178" w:rsidRDefault="00254178" w:rsidP="004D3943">
      <w:pPr>
        <w:tabs>
          <w:tab w:val="left" w:pos="1440"/>
        </w:tabs>
        <w:ind w:left="1290"/>
        <w:jc w:val="both"/>
      </w:pPr>
      <w:r>
        <w:tab/>
      </w:r>
      <w:r>
        <w:tab/>
        <w:t>nesusijusio su apgyvendinimu socialinio darbo veikla, kodas - 88</w:t>
      </w:r>
    </w:p>
    <w:p w:rsidR="00254178" w:rsidRDefault="00254178" w:rsidP="00DE556A">
      <w:pPr>
        <w:tabs>
          <w:tab w:val="left" w:pos="1440"/>
        </w:tabs>
        <w:ind w:firstLine="1290"/>
        <w:jc w:val="both"/>
      </w:pPr>
      <w:r>
        <w:tab/>
      </w:r>
      <w:r>
        <w:tab/>
        <w:t>nesusijusio su apgyvendinimu socialinio darbo su pagyvenusiais ir neįgaliaisiais asmenimis veikla, kodas – 88.10</w:t>
      </w:r>
    </w:p>
    <w:p w:rsidR="00254178" w:rsidRDefault="00254178" w:rsidP="00DE556A">
      <w:pPr>
        <w:tabs>
          <w:tab w:val="left" w:pos="1440"/>
        </w:tabs>
        <w:ind w:firstLine="1290"/>
        <w:jc w:val="both"/>
      </w:pPr>
      <w:r>
        <w:tab/>
      </w:r>
      <w:r>
        <w:tab/>
        <w:t>vaikų dienos priežiūros veikla, kodas – 88.91</w:t>
      </w:r>
    </w:p>
    <w:p w:rsidR="00254178" w:rsidRDefault="00254178" w:rsidP="00DE556A">
      <w:pPr>
        <w:tabs>
          <w:tab w:val="left" w:pos="0"/>
        </w:tabs>
        <w:jc w:val="both"/>
        <w:outlineLvl w:val="0"/>
      </w:pPr>
      <w:r>
        <w:tab/>
      </w:r>
      <w:r>
        <w:tab/>
        <w:t>kita, niekur kitur nepriskirta, nesusijusi su apgyvendinimu socialinio darbo veikla – 88.99;“;</w:t>
      </w:r>
    </w:p>
    <w:p w:rsidR="00254178" w:rsidRDefault="00254178" w:rsidP="00352F15">
      <w:pPr>
        <w:tabs>
          <w:tab w:val="left" w:pos="1440"/>
        </w:tabs>
        <w:jc w:val="both"/>
      </w:pPr>
      <w:r>
        <w:tab/>
        <w:t>1.2. 17.2. punktą ir jį išdėstyti taip:</w:t>
      </w:r>
    </w:p>
    <w:p w:rsidR="00254178" w:rsidRDefault="00254178" w:rsidP="00352F15">
      <w:pPr>
        <w:tabs>
          <w:tab w:val="left" w:pos="1440"/>
        </w:tabs>
        <w:jc w:val="both"/>
      </w:pPr>
      <w:r>
        <w:tab/>
        <w:t xml:space="preserve">„17.2. priima Kretingos rajono gyventojų prašymus bei reikiamus dokumentus dėl socialinių paslaugų teikimo (aprūpinimo techninės pagalbos neįgaliesiems priemonėmis, transporto paslaugų, laikino </w:t>
      </w:r>
      <w:proofErr w:type="spellStart"/>
      <w:r>
        <w:t>apnakvindinimo</w:t>
      </w:r>
      <w:proofErr w:type="spellEnd"/>
      <w:r>
        <w:t>, apgyvendinimo Pagalbos šeimai tarnyboje, intensyvios krizių įveikimo pagalbos ir kt.);“;</w:t>
      </w:r>
    </w:p>
    <w:p w:rsidR="00254178" w:rsidRDefault="00254178" w:rsidP="00352F15">
      <w:pPr>
        <w:tabs>
          <w:tab w:val="left" w:pos="1440"/>
        </w:tabs>
        <w:jc w:val="both"/>
      </w:pPr>
      <w:r>
        <w:tab/>
        <w:t>1.3. 17.3. punktą ir jį išdėstyti taip:</w:t>
      </w:r>
    </w:p>
    <w:p w:rsidR="00254178" w:rsidRDefault="00254178" w:rsidP="00352F15">
      <w:pPr>
        <w:tabs>
          <w:tab w:val="left" w:pos="1440"/>
        </w:tabs>
        <w:jc w:val="both"/>
      </w:pPr>
      <w:r>
        <w:tab/>
        <w:t>„17.3. nustato asmens (šeimos) socialinių paslaugų poreikį pagal SPC direktoriaus įsakymu patvirtintą tvarkos aprašą;“;</w:t>
      </w:r>
    </w:p>
    <w:p w:rsidR="00254178" w:rsidRDefault="00254178" w:rsidP="00352F15">
      <w:pPr>
        <w:tabs>
          <w:tab w:val="left" w:pos="1440"/>
        </w:tabs>
        <w:jc w:val="both"/>
      </w:pPr>
      <w:r>
        <w:tab/>
        <w:t>1.4. 17.9.punktą ir jį išdėstyti taip:</w:t>
      </w:r>
    </w:p>
    <w:p w:rsidR="00254178" w:rsidRDefault="00254178" w:rsidP="00352F15">
      <w:pPr>
        <w:tabs>
          <w:tab w:val="left" w:pos="1440"/>
        </w:tabs>
        <w:jc w:val="both"/>
      </w:pPr>
      <w:r>
        <w:tab/>
        <w:t>„</w:t>
      </w:r>
      <w:r w:rsidRPr="00C2764C">
        <w:t xml:space="preserve">17.9. teikia Pagalbos šeimai tarnyboje apgyvendinimo paslaugas krizinėje situacijoje atsidūrusioms motinoms ar tėvams su vaikais, asmenims, patyrusiems smurtą </w:t>
      </w:r>
      <w:r>
        <w:t xml:space="preserve">šeimoje </w:t>
      </w:r>
      <w:r w:rsidRPr="00C2764C">
        <w:t>ar prievartą;</w:t>
      </w:r>
      <w:r>
        <w:t>“;</w:t>
      </w:r>
    </w:p>
    <w:p w:rsidR="00254178" w:rsidRDefault="00254178" w:rsidP="00F31E43">
      <w:pPr>
        <w:tabs>
          <w:tab w:val="left" w:pos="1440"/>
        </w:tabs>
        <w:jc w:val="both"/>
      </w:pPr>
      <w:r>
        <w:tab/>
        <w:t>1.5. 17.11.1. punktą ir jį išdėstyti taip:</w:t>
      </w:r>
    </w:p>
    <w:p w:rsidR="00254178" w:rsidRDefault="00254178" w:rsidP="00F31E43">
      <w:pPr>
        <w:tabs>
          <w:tab w:val="left" w:pos="1440"/>
        </w:tabs>
        <w:jc w:val="both"/>
      </w:pPr>
      <w:r>
        <w:tab/>
        <w:t>„17.11.1. likusiems be tėvų globos ar socialinės rizikos vaikams nuo 0 iki 18 metų, vaikams ir jaunuoliams su negalia – nuo 0 iki 29 metų;“;</w:t>
      </w:r>
    </w:p>
    <w:p w:rsidR="00254178" w:rsidRDefault="00254178" w:rsidP="00F31E43">
      <w:pPr>
        <w:tabs>
          <w:tab w:val="left" w:pos="1440"/>
        </w:tabs>
        <w:jc w:val="both"/>
      </w:pPr>
      <w:r>
        <w:tab/>
        <w:t>1.6. 17.11.2 punktą ir jį išdėstyti taip:</w:t>
      </w:r>
    </w:p>
    <w:p w:rsidR="00254178" w:rsidRDefault="00254178" w:rsidP="00F31E43">
      <w:pPr>
        <w:tabs>
          <w:tab w:val="left" w:pos="1440"/>
        </w:tabs>
        <w:jc w:val="both"/>
      </w:pPr>
      <w:r>
        <w:tab/>
        <w:t>„17.11.2. likusiems</w:t>
      </w:r>
      <w:r>
        <w:rPr>
          <w:sz w:val="18"/>
          <w:szCs w:val="18"/>
        </w:rPr>
        <w:t xml:space="preserve"> </w:t>
      </w:r>
      <w:r w:rsidRPr="00E77E61">
        <w:t xml:space="preserve">be tėvų globos vaikams ir socialinės rizikos vaikams, vyresniems kaip 18 metų, gali </w:t>
      </w:r>
      <w:r>
        <w:t xml:space="preserve">būti sudaryta galimybė gyventi </w:t>
      </w:r>
      <w:r w:rsidRPr="004D3943">
        <w:t>Vaikų globos (rūpybos) tarnyboje</w:t>
      </w:r>
      <w:r w:rsidRPr="00E77E61">
        <w:t>, iki jie baigs bendrojo lavinimo, profesinio ugdymo ar specialiųjų ugdymosi poreikių užtikrinimą garantuojančias programas</w:t>
      </w:r>
      <w:r>
        <w:t>;“;</w:t>
      </w:r>
    </w:p>
    <w:p w:rsidR="00254178" w:rsidRDefault="00254178" w:rsidP="00A26C0A">
      <w:pPr>
        <w:tabs>
          <w:tab w:val="left" w:pos="1440"/>
        </w:tabs>
        <w:jc w:val="both"/>
      </w:pPr>
      <w:r>
        <w:tab/>
        <w:t>1.7. 17.11.3. punktą ir jį išdėstyti taip:</w:t>
      </w:r>
    </w:p>
    <w:p w:rsidR="00254178" w:rsidRPr="007A0E35" w:rsidRDefault="00254178" w:rsidP="00A26C0A">
      <w:pPr>
        <w:tabs>
          <w:tab w:val="left" w:pos="1440"/>
        </w:tabs>
        <w:jc w:val="both"/>
      </w:pPr>
      <w:r w:rsidRPr="007A0E35">
        <w:lastRenderedPageBreak/>
        <w:tab/>
        <w:t xml:space="preserve">„17.11.3. vyresniems kaip 18 metų vaikams, tačiau ne ilgiau kaip iki 21 metų amžiaus, išimtiniais atvejais, kai gyvenimo laikotarpis yra pratęsiamas, esant asmens motyvuotam prašymui, </w:t>
      </w:r>
      <w:r>
        <w:t>SPC bei savivaldybės, priėmusios sprendimą skirti socialinę globą asmeniui,</w:t>
      </w:r>
      <w:r w:rsidRPr="007A0E35">
        <w:t xml:space="preserve"> sutikimams;“;</w:t>
      </w:r>
    </w:p>
    <w:p w:rsidR="00254178" w:rsidRDefault="00254178" w:rsidP="00E77E61">
      <w:pPr>
        <w:tabs>
          <w:tab w:val="left" w:pos="1440"/>
        </w:tabs>
        <w:jc w:val="both"/>
      </w:pPr>
      <w:r>
        <w:tab/>
        <w:t>1.8. 17.18. punktą ir jį išdėstyti taip:</w:t>
      </w:r>
    </w:p>
    <w:p w:rsidR="00254178" w:rsidRDefault="00254178" w:rsidP="00E77E61">
      <w:pPr>
        <w:tabs>
          <w:tab w:val="left" w:pos="1440"/>
        </w:tabs>
        <w:jc w:val="both"/>
      </w:pPr>
      <w:r>
        <w:tab/>
        <w:t>„17.18. dalyvauja rengiant ir svarstant socialines paslaugas reglamentuojančių valstybės, savivaldybės institucijų teisės aktų projektus, teikia pasiūlymus Savivaldybės administracijai dėl socialinių paslaugų infrastruktūros plėtojimo;“;</w:t>
      </w:r>
    </w:p>
    <w:p w:rsidR="00254178" w:rsidRDefault="00254178" w:rsidP="00FF4A49">
      <w:pPr>
        <w:tabs>
          <w:tab w:val="left" w:pos="1440"/>
        </w:tabs>
        <w:jc w:val="both"/>
      </w:pPr>
      <w:r>
        <w:tab/>
        <w:t>1.9. 17.23. punktą ir jį išdėstyti taip:</w:t>
      </w:r>
    </w:p>
    <w:p w:rsidR="00254178" w:rsidRDefault="00254178" w:rsidP="00E77E61">
      <w:pPr>
        <w:tabs>
          <w:tab w:val="left" w:pos="1440"/>
        </w:tabs>
        <w:jc w:val="both"/>
      </w:pPr>
      <w:r>
        <w:tab/>
        <w:t>„17.23. pagal poreikį teikia informaciją Savivaldybės administracijai apie teikiamas socialines paslaugas rajono gyventojams;“;</w:t>
      </w:r>
    </w:p>
    <w:p w:rsidR="00254178" w:rsidRDefault="00254178" w:rsidP="001E3832">
      <w:pPr>
        <w:tabs>
          <w:tab w:val="left" w:pos="1440"/>
        </w:tabs>
        <w:jc w:val="both"/>
      </w:pPr>
      <w:r>
        <w:tab/>
        <w:t>1.10. 18.6. punktą ir jį išdėstyti taip:</w:t>
      </w:r>
    </w:p>
    <w:p w:rsidR="00254178" w:rsidRDefault="00254178" w:rsidP="00EC2F53">
      <w:pPr>
        <w:tabs>
          <w:tab w:val="left" w:pos="1440"/>
        </w:tabs>
        <w:jc w:val="both"/>
      </w:pPr>
      <w:r>
        <w:tab/>
        <w:t xml:space="preserve">„18.6. pagal SPC direktoriaus patvirtintą Kišenpinigių smulkioms išlaidoms skyrimo ir mokėjimo SPC globojamiems </w:t>
      </w:r>
      <w:r w:rsidRPr="00AB3FF0">
        <w:t xml:space="preserve">(rūpinamiems) </w:t>
      </w:r>
      <w:r>
        <w:t>vaikams tvarkos aprašą kiekvieną mėnesį vaikui nuo 7 metų skirti kišenpinigius, kurių dydis yra ne mažesnis kaip 0,4 bazinės socialinės išmokos (BSĮ);“;</w:t>
      </w:r>
    </w:p>
    <w:p w:rsidR="00254178" w:rsidRDefault="00254178" w:rsidP="001C41DD">
      <w:pPr>
        <w:tabs>
          <w:tab w:val="left" w:pos="1440"/>
        </w:tabs>
        <w:jc w:val="both"/>
      </w:pPr>
      <w:r>
        <w:tab/>
        <w:t>1.11. 23 punktą ir jį išdėstyti taip:</w:t>
      </w:r>
    </w:p>
    <w:p w:rsidR="00254178" w:rsidRDefault="00254178" w:rsidP="00EC2F53">
      <w:pPr>
        <w:tabs>
          <w:tab w:val="left" w:pos="1440"/>
        </w:tabs>
        <w:jc w:val="both"/>
      </w:pPr>
      <w:r>
        <w:tab/>
        <w:t>„23. SPC darbuotojai savo darbe vadovaujasi SPC bei tarnybos, kurioje dirba, nuostatais, pareigybės aprašymu, darbo tvarkos taisyklėmis ir kitais darbą reglamentuojančiais dokumentais.“.</w:t>
      </w:r>
    </w:p>
    <w:p w:rsidR="00254178" w:rsidRDefault="00254178" w:rsidP="003373C3">
      <w:pPr>
        <w:tabs>
          <w:tab w:val="left" w:pos="1440"/>
        </w:tabs>
        <w:ind w:firstLine="1418"/>
        <w:jc w:val="both"/>
      </w:pPr>
      <w:r>
        <w:t xml:space="preserve">2. Pripažinti netekusiu galios Kretingos socialinių paslaugų centro nuostatų, patvirtintų Kretingos rajono savivaldybės tarybos </w:t>
      </w:r>
      <w:smartTag w:uri="urn:schemas-microsoft-com:office:smarttags" w:element="metricconverter">
        <w:smartTagPr>
          <w:attr w:name="ProductID" w:val="2005 M"/>
        </w:smartTagPr>
        <w:r>
          <w:t>2005 m</w:t>
        </w:r>
      </w:smartTag>
      <w:r>
        <w:t>. rugpjūčio 25 d. sprendimu Nr.T2-229 ,,Dėl Kretingos socialinių paslaugų centro nuostatų tvirtinimo“ su vėlesniais pakeitimais 17.11.4. punktą.</w:t>
      </w:r>
    </w:p>
    <w:p w:rsidR="00254178" w:rsidRDefault="00254178" w:rsidP="003373C3">
      <w:pPr>
        <w:tabs>
          <w:tab w:val="left" w:pos="1440"/>
        </w:tabs>
        <w:ind w:firstLine="1418"/>
        <w:jc w:val="both"/>
      </w:pPr>
      <w:r>
        <w:t xml:space="preserve">3. Kretingos socialinių paslaugų centro nuostatų, patvirtintų Kretingos rajono savivaldybės tarybos </w:t>
      </w:r>
      <w:smartTag w:uri="urn:schemas-microsoft-com:office:smarttags" w:element="metricconverter">
        <w:smartTagPr>
          <w:attr w:name="ProductID" w:val="2005 M"/>
        </w:smartTagPr>
        <w:r>
          <w:t>2005 m</w:t>
        </w:r>
      </w:smartTag>
      <w:r>
        <w:t>. rugpjūčio 25 d. sprendimu Nr.T2-229 ,,Dėl Kretingos socialinių paslaugų centro nuostatų tvirtinimo“ su vėlesniais pakeitimais 17.11.5. punktą laikyti 17.11.4. punktu.</w:t>
      </w:r>
    </w:p>
    <w:p w:rsidR="00254178" w:rsidRDefault="00254178" w:rsidP="003373C3">
      <w:pPr>
        <w:ind w:firstLine="1418"/>
        <w:jc w:val="both"/>
      </w:pPr>
      <w:r>
        <w:t xml:space="preserve">4. Įgalioti Kretingos socialinių paslaugų centro direktorę </w:t>
      </w:r>
      <w:proofErr w:type="spellStart"/>
      <w:r>
        <w:t>Berutą</w:t>
      </w:r>
      <w:proofErr w:type="spellEnd"/>
      <w:r>
        <w:t xml:space="preserve"> </w:t>
      </w:r>
      <w:proofErr w:type="spellStart"/>
      <w:r>
        <w:t>Dirvonskienę</w:t>
      </w:r>
      <w:proofErr w:type="spellEnd"/>
      <w:r>
        <w:t xml:space="preserve"> pasirašyti pakeistus nuostatus ir įregistruoti juos valstybės įmonėje Registrų centre teisės aktų nustatyta tvarka.</w:t>
      </w:r>
    </w:p>
    <w:p w:rsidR="00254178" w:rsidRDefault="00254178" w:rsidP="00D860F9">
      <w:pPr>
        <w:jc w:val="both"/>
      </w:pPr>
    </w:p>
    <w:p w:rsidR="00254178" w:rsidRDefault="00254178" w:rsidP="00D860F9">
      <w:pPr>
        <w:jc w:val="both"/>
      </w:pPr>
    </w:p>
    <w:p w:rsidR="00254178" w:rsidRDefault="00254178" w:rsidP="004258EC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 w:rsidR="004157B6">
        <w:t xml:space="preserve">     </w:t>
      </w:r>
      <w:r>
        <w:t>Juozas Mažeika</w:t>
      </w: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4258EC">
      <w:pPr>
        <w:jc w:val="both"/>
      </w:pPr>
    </w:p>
    <w:p w:rsidR="008F06AE" w:rsidRDefault="008F06AE" w:rsidP="008F06AE">
      <w:pPr>
        <w:jc w:val="both"/>
      </w:pPr>
      <w:r>
        <w:t xml:space="preserve">Danutė </w:t>
      </w:r>
      <w:proofErr w:type="spellStart"/>
      <w:r>
        <w:t>Blagnienė</w:t>
      </w:r>
      <w:proofErr w:type="spellEnd"/>
    </w:p>
    <w:p w:rsidR="008F06AE" w:rsidRDefault="008F06AE" w:rsidP="008F06AE">
      <w:pPr>
        <w:jc w:val="both"/>
      </w:pPr>
      <w:r>
        <w:t>2013-08-29</w:t>
      </w:r>
    </w:p>
    <w:sectPr w:rsidR="008F06AE" w:rsidSect="008F06AE">
      <w:pgSz w:w="11906" w:h="16838"/>
      <w:pgMar w:top="28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5C37E5"/>
    <w:multiLevelType w:val="multilevel"/>
    <w:tmpl w:val="044C3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/>
      </w:rPr>
    </w:lvl>
  </w:abstractNum>
  <w:abstractNum w:abstractNumId="2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/>
      </w:rPr>
    </w:lvl>
  </w:abstractNum>
  <w:abstractNum w:abstractNumId="3">
    <w:nsid w:val="4F676FBF"/>
    <w:multiLevelType w:val="hybridMultilevel"/>
    <w:tmpl w:val="6232AA4C"/>
    <w:lvl w:ilvl="0" w:tplc="AB0213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C108BD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A6"/>
    <w:rsid w:val="00017F65"/>
    <w:rsid w:val="00034D65"/>
    <w:rsid w:val="00116F03"/>
    <w:rsid w:val="00153936"/>
    <w:rsid w:val="001611DB"/>
    <w:rsid w:val="001C41DD"/>
    <w:rsid w:val="001E3832"/>
    <w:rsid w:val="00213921"/>
    <w:rsid w:val="0022202A"/>
    <w:rsid w:val="00231F76"/>
    <w:rsid w:val="00254178"/>
    <w:rsid w:val="002B792C"/>
    <w:rsid w:val="002D5B9C"/>
    <w:rsid w:val="00315A74"/>
    <w:rsid w:val="00331732"/>
    <w:rsid w:val="003373C3"/>
    <w:rsid w:val="00352F15"/>
    <w:rsid w:val="00362DE7"/>
    <w:rsid w:val="0039744B"/>
    <w:rsid w:val="00407BA2"/>
    <w:rsid w:val="004157B6"/>
    <w:rsid w:val="004258EC"/>
    <w:rsid w:val="00495540"/>
    <w:rsid w:val="004D3943"/>
    <w:rsid w:val="004F18FC"/>
    <w:rsid w:val="00500507"/>
    <w:rsid w:val="005E4AAC"/>
    <w:rsid w:val="00655963"/>
    <w:rsid w:val="00671829"/>
    <w:rsid w:val="0067659D"/>
    <w:rsid w:val="00691D6B"/>
    <w:rsid w:val="006C18F1"/>
    <w:rsid w:val="006E3093"/>
    <w:rsid w:val="00730609"/>
    <w:rsid w:val="0074114F"/>
    <w:rsid w:val="00745C24"/>
    <w:rsid w:val="00746C88"/>
    <w:rsid w:val="007728F1"/>
    <w:rsid w:val="0079084B"/>
    <w:rsid w:val="007A0E35"/>
    <w:rsid w:val="007D4072"/>
    <w:rsid w:val="00805FB7"/>
    <w:rsid w:val="00806B81"/>
    <w:rsid w:val="008943D4"/>
    <w:rsid w:val="008A35CA"/>
    <w:rsid w:val="008C08AF"/>
    <w:rsid w:val="008F06AE"/>
    <w:rsid w:val="0095233A"/>
    <w:rsid w:val="0095526C"/>
    <w:rsid w:val="0099192F"/>
    <w:rsid w:val="009A5571"/>
    <w:rsid w:val="00A26C0A"/>
    <w:rsid w:val="00A44B68"/>
    <w:rsid w:val="00A4759D"/>
    <w:rsid w:val="00A53141"/>
    <w:rsid w:val="00A55FB7"/>
    <w:rsid w:val="00A60EF2"/>
    <w:rsid w:val="00A634D3"/>
    <w:rsid w:val="00AB3FF0"/>
    <w:rsid w:val="00AE20B1"/>
    <w:rsid w:val="00AE2B95"/>
    <w:rsid w:val="00B344CD"/>
    <w:rsid w:val="00B64A8D"/>
    <w:rsid w:val="00BA707D"/>
    <w:rsid w:val="00BD6DB8"/>
    <w:rsid w:val="00C2764C"/>
    <w:rsid w:val="00C57A57"/>
    <w:rsid w:val="00C659D3"/>
    <w:rsid w:val="00C776DD"/>
    <w:rsid w:val="00C93056"/>
    <w:rsid w:val="00D22B3A"/>
    <w:rsid w:val="00D759E1"/>
    <w:rsid w:val="00D860F9"/>
    <w:rsid w:val="00D9110F"/>
    <w:rsid w:val="00DE556A"/>
    <w:rsid w:val="00E166AA"/>
    <w:rsid w:val="00E16D69"/>
    <w:rsid w:val="00E5401E"/>
    <w:rsid w:val="00E6610F"/>
    <w:rsid w:val="00E77E61"/>
    <w:rsid w:val="00E91C17"/>
    <w:rsid w:val="00EC2F53"/>
    <w:rsid w:val="00EF259F"/>
    <w:rsid w:val="00F279FA"/>
    <w:rsid w:val="00F31E43"/>
    <w:rsid w:val="00F478B2"/>
    <w:rsid w:val="00F51AB9"/>
    <w:rsid w:val="00F7696F"/>
    <w:rsid w:val="00F77EA6"/>
    <w:rsid w:val="00F807FB"/>
    <w:rsid w:val="00FD663A"/>
    <w:rsid w:val="00FE2339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7A5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4D39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6718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71829"/>
    <w:rPr>
      <w:rFonts w:ascii="Tahom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66AA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166A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7A5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4D39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6718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71829"/>
    <w:rPr>
      <w:rFonts w:ascii="Tahom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66AA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166A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8</cp:revision>
  <cp:lastPrinted>2013-08-12T08:41:00Z</cp:lastPrinted>
  <dcterms:created xsi:type="dcterms:W3CDTF">2013-08-20T12:53:00Z</dcterms:created>
  <dcterms:modified xsi:type="dcterms:W3CDTF">2013-08-29T11:21:00Z</dcterms:modified>
</cp:coreProperties>
</file>