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A1A2" w14:textId="77777777" w:rsidR="00EE280B" w:rsidRPr="00BD2DF9" w:rsidRDefault="00EE280B" w:rsidP="00EE280B">
      <w:pPr>
        <w:spacing w:after="0" w:line="240" w:lineRule="auto"/>
        <w:jc w:val="center"/>
        <w:rPr>
          <w:rFonts w:eastAsia="Calibri"/>
          <w:lang w:eastAsia="lt-LT"/>
        </w:rPr>
      </w:pPr>
      <w:r w:rsidRPr="00BD2DF9">
        <w:rPr>
          <w:rFonts w:eastAsia="Calibri"/>
          <w:b/>
        </w:rPr>
        <w:t>AIŠKINAMASIS RAŠTAS</w:t>
      </w:r>
    </w:p>
    <w:p w14:paraId="7193C16E" w14:textId="77777777" w:rsidR="00EE280B" w:rsidRPr="00BD2DF9" w:rsidRDefault="00EE280B" w:rsidP="00EE280B">
      <w:pPr>
        <w:spacing w:after="0" w:line="240" w:lineRule="auto"/>
        <w:jc w:val="center"/>
        <w:rPr>
          <w:rFonts w:eastAsia="Calibri"/>
          <w:b/>
        </w:rPr>
      </w:pPr>
      <w:r w:rsidRPr="00BD2DF9">
        <w:rPr>
          <w:rFonts w:eastAsia="Calibri"/>
          <w:b/>
        </w:rPr>
        <w:t>PRIE KRETINGOS RAJONO SAVIVALDYBĖS TARYBOS SPRENDIMO PROJEKTO „</w:t>
      </w:r>
      <w:r w:rsidRPr="00BD2DF9">
        <w:rPr>
          <w:rFonts w:eastAsia="Times New Roman"/>
          <w:b/>
          <w:szCs w:val="26"/>
          <w:lang w:eastAsia="lt-LT"/>
        </w:rPr>
        <w:t>DĖL KRETINGOS RAJONO SAVIVALDYBĖS TARYBOS 2006 M. BIRŽELIO 29 D. SPRENDIMO NR. T2-176 „DĖL KRETINGOS RAJONO MOKYKLŲ, SAVARANKIŠKAI ORGANIZUOJANČIŲ MOKINIŲ MAITINIMĄ, MOKINIŲ MAITINIMOSI MOKYKLOJE TVARKOS APRAŠO PATVIRTINIMO“ PAKEITIMO</w:t>
      </w:r>
      <w:r w:rsidRPr="00BD2DF9">
        <w:rPr>
          <w:rFonts w:eastAsia="Calibri"/>
          <w:b/>
          <w:bCs/>
        </w:rPr>
        <w:t>“</w:t>
      </w:r>
    </w:p>
    <w:p w14:paraId="4C708349" w14:textId="77777777" w:rsidR="00EE280B" w:rsidRPr="00BD2DF9" w:rsidRDefault="00EE280B" w:rsidP="00EE280B">
      <w:pPr>
        <w:spacing w:after="0" w:line="240" w:lineRule="auto"/>
        <w:rPr>
          <w:rFonts w:eastAsia="Calibri"/>
          <w:b/>
        </w:rPr>
      </w:pPr>
    </w:p>
    <w:p w14:paraId="136957C5" w14:textId="53AB7889" w:rsidR="00EE280B" w:rsidRPr="00BD2DF9" w:rsidRDefault="00EE280B" w:rsidP="00EE280B">
      <w:pPr>
        <w:spacing w:after="0" w:line="240" w:lineRule="auto"/>
        <w:jc w:val="center"/>
        <w:rPr>
          <w:rFonts w:eastAsia="Calibri"/>
        </w:rPr>
      </w:pPr>
      <w:r w:rsidRPr="00BD2DF9">
        <w:rPr>
          <w:rFonts w:eastAsia="Calibri"/>
        </w:rPr>
        <w:t>202</w:t>
      </w:r>
      <w:r w:rsidR="00194159" w:rsidRPr="00BD2DF9">
        <w:rPr>
          <w:rFonts w:eastAsia="Calibri"/>
        </w:rPr>
        <w:t>6</w:t>
      </w:r>
      <w:r w:rsidRPr="00BD2DF9">
        <w:rPr>
          <w:rFonts w:eastAsia="Calibri"/>
        </w:rPr>
        <w:t>-0</w:t>
      </w:r>
      <w:r w:rsidR="00194159" w:rsidRPr="00BD2DF9">
        <w:rPr>
          <w:rFonts w:eastAsia="Calibri"/>
        </w:rPr>
        <w:t>6</w:t>
      </w:r>
      <w:r w:rsidRPr="00BD2DF9">
        <w:rPr>
          <w:rFonts w:eastAsia="Calibri"/>
        </w:rPr>
        <w:t>-</w:t>
      </w:r>
    </w:p>
    <w:p w14:paraId="4B58E8A6" w14:textId="77777777" w:rsidR="00EE280B" w:rsidRPr="00BD2DF9" w:rsidRDefault="00EE280B" w:rsidP="00EE280B">
      <w:pPr>
        <w:spacing w:after="0" w:line="240" w:lineRule="auto"/>
        <w:jc w:val="center"/>
        <w:rPr>
          <w:rFonts w:eastAsia="Calibri"/>
        </w:rPr>
      </w:pPr>
      <w:r w:rsidRPr="00BD2DF9">
        <w:rPr>
          <w:rFonts w:eastAsia="Calibri"/>
        </w:rPr>
        <w:t>Kretinga</w:t>
      </w:r>
    </w:p>
    <w:p w14:paraId="2CE1F81B" w14:textId="77777777" w:rsidR="00EE280B" w:rsidRPr="00BD2DF9" w:rsidRDefault="00EE280B" w:rsidP="00EE280B">
      <w:pPr>
        <w:spacing w:after="0" w:line="240" w:lineRule="auto"/>
        <w:jc w:val="both"/>
        <w:rPr>
          <w:rFonts w:eastAsia="Calibri"/>
        </w:rPr>
      </w:pPr>
    </w:p>
    <w:p w14:paraId="73F7E871" w14:textId="77777777" w:rsidR="00EE280B" w:rsidRPr="00BD2DF9" w:rsidRDefault="00EE280B" w:rsidP="00EE280B">
      <w:pPr>
        <w:tabs>
          <w:tab w:val="left" w:pos="0"/>
          <w:tab w:val="left" w:pos="1701"/>
        </w:tabs>
        <w:spacing w:after="200" w:line="276" w:lineRule="auto"/>
        <w:ind w:left="851"/>
        <w:contextualSpacing/>
        <w:jc w:val="both"/>
        <w:rPr>
          <w:rFonts w:eastAsia="Calibri"/>
          <w:b/>
        </w:rPr>
      </w:pPr>
      <w:r w:rsidRPr="00BD2DF9">
        <w:rPr>
          <w:rFonts w:eastAsia="Calibri"/>
          <w:b/>
        </w:rPr>
        <w:t>1. Parengto sprendimo projekto tikslai ir uždaviniai.</w:t>
      </w:r>
    </w:p>
    <w:p w14:paraId="089D1F94" w14:textId="6DB0C558" w:rsidR="00EE280B" w:rsidRPr="00BD2DF9" w:rsidRDefault="00EE280B" w:rsidP="00EE280B">
      <w:pPr>
        <w:tabs>
          <w:tab w:val="left" w:pos="0"/>
        </w:tabs>
        <w:spacing w:after="0" w:line="240" w:lineRule="auto"/>
        <w:ind w:firstLine="851"/>
        <w:jc w:val="both"/>
        <w:rPr>
          <w:rFonts w:eastAsia="Calibri"/>
        </w:rPr>
      </w:pPr>
      <w:r w:rsidRPr="00BD2DF9">
        <w:rPr>
          <w:rFonts w:eastAsia="Calibri"/>
        </w:rPr>
        <w:t xml:space="preserve">Sprendimo projekto tikslas – pakeisti </w:t>
      </w:r>
      <w:r w:rsidRPr="00BD2DF9">
        <w:rPr>
          <w:rFonts w:eastAsia="Calibri"/>
          <w:bCs/>
        </w:rPr>
        <w:t>Kretingos rajono mokyklų, savarankiškai organizuojančių mokinių maitinimą, mokinių maitinimosi mokykloje tvarkos aprašą</w:t>
      </w:r>
      <w:r w:rsidRPr="00BD2DF9">
        <w:rPr>
          <w:rFonts w:eastAsia="Calibri"/>
        </w:rPr>
        <w:t>, patvirtintą Kretingos rajono savivaldybės tarybos 2006 m. birželio 29 d. sprendimu Nr. T2-176 „Dėl Kretingos rajono mokyklų, savarankiškai organizuojančių mokinių maitinimą, mokinių maitinimosi mokykloje tvarkos aprašo patvirtinimo“</w:t>
      </w:r>
      <w:r w:rsidR="003A7846" w:rsidRPr="00BD2DF9">
        <w:rPr>
          <w:rFonts w:eastAsia="Calibri"/>
        </w:rPr>
        <w:t>,</w:t>
      </w:r>
      <w:r w:rsidRPr="00BD2DF9">
        <w:rPr>
          <w:rFonts w:eastAsia="Calibri"/>
        </w:rPr>
        <w:t xml:space="preserve"> (toliau – Aprašas) keičiantis Kretingos rajono savivaldybės mokyklų maitinimo organizavimo situacijai.</w:t>
      </w:r>
    </w:p>
    <w:p w14:paraId="0ED1333B" w14:textId="77777777" w:rsidR="00EE280B" w:rsidRPr="00BD2DF9" w:rsidRDefault="00EE280B" w:rsidP="00EE280B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eastAsia="Times New Roman"/>
          <w:b/>
          <w:lang w:eastAsia="ru-RU"/>
        </w:rPr>
      </w:pPr>
      <w:r w:rsidRPr="00BD2DF9">
        <w:rPr>
          <w:rFonts w:eastAsia="Times New Roman"/>
          <w:b/>
          <w:lang w:eastAsia="ru-RU"/>
        </w:rPr>
        <w:t xml:space="preserve">2. </w:t>
      </w:r>
      <w:r w:rsidRPr="00BD2DF9">
        <w:rPr>
          <w:rFonts w:eastAsia="Times New Roman"/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Pr="00BD2DF9">
        <w:rPr>
          <w:rFonts w:eastAsia="Times New Roman"/>
          <w:b/>
          <w:lang w:eastAsia="ru-RU"/>
        </w:rPr>
        <w:t xml:space="preserve">. </w:t>
      </w:r>
    </w:p>
    <w:p w14:paraId="2C950917" w14:textId="40A38253" w:rsidR="00F0093F" w:rsidRPr="00BD2DF9" w:rsidRDefault="009167E3" w:rsidP="00F0093F">
      <w:pPr>
        <w:tabs>
          <w:tab w:val="left" w:pos="0"/>
        </w:tabs>
        <w:spacing w:after="0" w:line="240" w:lineRule="auto"/>
        <w:ind w:firstLine="851"/>
        <w:jc w:val="both"/>
        <w:rPr>
          <w:rFonts w:eastAsia="Calibri"/>
        </w:rPr>
      </w:pPr>
      <w:r w:rsidRPr="009167E3">
        <w:rPr>
          <w:rFonts w:eastAsia="Calibri"/>
        </w:rPr>
        <w:t xml:space="preserve">Nuo 2026 m. rugsėjo 1 d. </w:t>
      </w:r>
      <w:r w:rsidR="00976667">
        <w:rPr>
          <w:rFonts w:eastAsia="Calibri"/>
        </w:rPr>
        <w:t>Lietuvos Respublikos s</w:t>
      </w:r>
      <w:r w:rsidR="00976667" w:rsidRPr="00976667">
        <w:rPr>
          <w:rFonts w:eastAsia="Calibri"/>
        </w:rPr>
        <w:t>veikatos apsaugos ministro 2026</w:t>
      </w:r>
      <w:r w:rsidR="00976667">
        <w:rPr>
          <w:rFonts w:eastAsia="Calibri"/>
        </w:rPr>
        <w:t xml:space="preserve"> m. balandžio </w:t>
      </w:r>
      <w:r w:rsidR="00976667" w:rsidRPr="00976667">
        <w:rPr>
          <w:rFonts w:eastAsia="Calibri"/>
        </w:rPr>
        <w:t>9</w:t>
      </w:r>
      <w:r w:rsidR="00976667">
        <w:rPr>
          <w:rFonts w:eastAsia="Calibri"/>
        </w:rPr>
        <w:t xml:space="preserve"> d. </w:t>
      </w:r>
      <w:r w:rsidR="00976667" w:rsidRPr="00976667">
        <w:rPr>
          <w:rFonts w:eastAsia="Calibri"/>
        </w:rPr>
        <w:t>įsakym</w:t>
      </w:r>
      <w:r w:rsidR="00976667">
        <w:rPr>
          <w:rFonts w:eastAsia="Calibri"/>
        </w:rPr>
        <w:t>u Nr. V-313 „</w:t>
      </w:r>
      <w:r w:rsidR="00976667" w:rsidRPr="00976667">
        <w:rPr>
          <w:rFonts w:eastAsia="Calibri"/>
        </w:rPr>
        <w:t>Dėl Lietuvos Respublikos sveikatos apsaugos ministro 2022 m. rugsėjo 8 d. įsakymo Nr. V-1429 „Dėl Lietuvos Respublikos sveikatos apsaugos ministro 2011 m. lapkričio 11 d. įsakymo Nr. V-964 „Dėl Vaikų maitinimo organizavimo tvarkos aprašo patvirtinimo“ pakeitimo“</w:t>
      </w:r>
      <w:r w:rsidR="00976667">
        <w:rPr>
          <w:rFonts w:eastAsia="Calibri"/>
        </w:rPr>
        <w:t xml:space="preserve"> pakeitimo“</w:t>
      </w:r>
      <w:r w:rsidR="00976667" w:rsidRPr="00976667">
        <w:rPr>
          <w:rFonts w:eastAsia="Calibri"/>
        </w:rPr>
        <w:t xml:space="preserve"> </w:t>
      </w:r>
      <w:r w:rsidR="00546B54" w:rsidRPr="00BD2DF9">
        <w:rPr>
          <w:rFonts w:eastAsia="Calibri"/>
        </w:rPr>
        <w:t xml:space="preserve">keičiamas </w:t>
      </w:r>
      <w:r w:rsidRPr="009167E3">
        <w:rPr>
          <w:rFonts w:eastAsia="Calibri"/>
        </w:rPr>
        <w:t>Vaikų maitinimo organizavimo tvarkos apraš</w:t>
      </w:r>
      <w:r w:rsidR="00546B54" w:rsidRPr="00BD2DF9">
        <w:rPr>
          <w:rFonts w:eastAsia="Calibri"/>
        </w:rPr>
        <w:t>as</w:t>
      </w:r>
      <w:r w:rsidR="00976667">
        <w:rPr>
          <w:rFonts w:eastAsia="Calibri"/>
        </w:rPr>
        <w:t xml:space="preserve">, kuriuo </w:t>
      </w:r>
      <w:r w:rsidRPr="009167E3">
        <w:rPr>
          <w:rFonts w:eastAsia="Calibri"/>
        </w:rPr>
        <w:t>griežt</w:t>
      </w:r>
      <w:r w:rsidR="00546B54" w:rsidRPr="00BD2DF9">
        <w:rPr>
          <w:rFonts w:eastAsia="Calibri"/>
        </w:rPr>
        <w:t xml:space="preserve">inami </w:t>
      </w:r>
      <w:r w:rsidRPr="009167E3">
        <w:rPr>
          <w:rFonts w:eastAsia="Calibri"/>
        </w:rPr>
        <w:t>valgiaraščių parengimo, dokumentavimo ir tvirtinimo reikalavimai</w:t>
      </w:r>
      <w:r w:rsidR="00546B54" w:rsidRPr="00BD2DF9">
        <w:rPr>
          <w:rFonts w:eastAsia="Calibri"/>
        </w:rPr>
        <w:t xml:space="preserve">, didinami aplinkosauginiai reikalavimai. </w:t>
      </w:r>
      <w:r w:rsidRPr="009167E3">
        <w:rPr>
          <w:rFonts w:eastAsia="Calibri"/>
        </w:rPr>
        <w:t xml:space="preserve">Šių reikalavimų įgyvendinimas </w:t>
      </w:r>
      <w:r w:rsidR="00546B54" w:rsidRPr="00BD2DF9">
        <w:rPr>
          <w:rFonts w:eastAsia="Calibri"/>
        </w:rPr>
        <w:t>didins maisto gamybos</w:t>
      </w:r>
      <w:r w:rsidRPr="009167E3">
        <w:rPr>
          <w:rFonts w:eastAsia="Calibri"/>
        </w:rPr>
        <w:t xml:space="preserve"> sąnaudas</w:t>
      </w:r>
      <w:r w:rsidR="00546B54" w:rsidRPr="00BD2DF9">
        <w:rPr>
          <w:rFonts w:eastAsia="Calibri"/>
        </w:rPr>
        <w:t>. 2025 m.</w:t>
      </w:r>
      <w:r w:rsidR="00BD2DF9" w:rsidRPr="00BD2DF9">
        <w:rPr>
          <w:rFonts w:eastAsia="Calibri"/>
        </w:rPr>
        <w:t xml:space="preserve"> IV ketv. – 2026 m. I ketv.</w:t>
      </w:r>
      <w:r w:rsidR="00546B54" w:rsidRPr="00BD2DF9">
        <w:rPr>
          <w:rFonts w:eastAsia="Calibri"/>
        </w:rPr>
        <w:t xml:space="preserve"> </w:t>
      </w:r>
      <w:r w:rsidRPr="009167E3">
        <w:rPr>
          <w:rFonts w:eastAsia="Calibri"/>
        </w:rPr>
        <w:t xml:space="preserve">didėjo darbo užmokesčio, </w:t>
      </w:r>
      <w:r w:rsidR="00F0093F" w:rsidRPr="00BD2DF9">
        <w:rPr>
          <w:rFonts w:eastAsia="Calibri"/>
        </w:rPr>
        <w:t>transport</w:t>
      </w:r>
      <w:r w:rsidR="00BD2DF9" w:rsidRPr="00BD2DF9">
        <w:rPr>
          <w:rFonts w:eastAsia="Calibri"/>
        </w:rPr>
        <w:t>o</w:t>
      </w:r>
      <w:r w:rsidR="00F0093F" w:rsidRPr="00BD2DF9">
        <w:rPr>
          <w:rFonts w:eastAsia="Calibri"/>
        </w:rPr>
        <w:t xml:space="preserve"> ir</w:t>
      </w:r>
      <w:r w:rsidRPr="009167E3">
        <w:rPr>
          <w:rFonts w:eastAsia="Calibri"/>
        </w:rPr>
        <w:t xml:space="preserve"> energijos išteklių sąnaudos</w:t>
      </w:r>
      <w:r w:rsidR="00F0093F" w:rsidRPr="00BD2DF9">
        <w:rPr>
          <w:rFonts w:eastAsia="Calibri"/>
        </w:rPr>
        <w:t xml:space="preserve">. </w:t>
      </w:r>
      <w:r w:rsidRPr="009167E3">
        <w:rPr>
          <w:rFonts w:eastAsia="Calibri"/>
        </w:rPr>
        <w:t xml:space="preserve">Siekiant užtikrinti nepertraukiamą, teisės aktų reikalavimus atitinkantį ir kokybišką </w:t>
      </w:r>
      <w:r w:rsidR="00F0093F" w:rsidRPr="00BD2DF9">
        <w:rPr>
          <w:rFonts w:eastAsia="Calibri"/>
        </w:rPr>
        <w:t>mokinių</w:t>
      </w:r>
      <w:r w:rsidRPr="009167E3">
        <w:rPr>
          <w:rFonts w:eastAsia="Calibri"/>
        </w:rPr>
        <w:t xml:space="preserve"> maitinimo paslaugų teikimą, </w:t>
      </w:r>
      <w:r w:rsidR="00F0093F" w:rsidRPr="00BD2DF9">
        <w:rPr>
          <w:rFonts w:eastAsia="Calibri"/>
        </w:rPr>
        <w:t>reik</w:t>
      </w:r>
      <w:r w:rsidR="00E5731A">
        <w:rPr>
          <w:rFonts w:eastAsia="Calibri"/>
        </w:rPr>
        <w:t>i</w:t>
      </w:r>
      <w:r w:rsidR="00F0093F" w:rsidRPr="00BD2DF9">
        <w:rPr>
          <w:rFonts w:eastAsia="Calibri"/>
        </w:rPr>
        <w:t xml:space="preserve">a didinti patiekalo kainą sudarantį patiekalo gamybos išlaidų procentą. Siūloma </w:t>
      </w:r>
      <w:r w:rsidR="00F0093F" w:rsidRPr="00F0093F">
        <w:rPr>
          <w:rFonts w:eastAsia="Calibri"/>
        </w:rPr>
        <w:t>patiekalo kainą sudar</w:t>
      </w:r>
      <w:r w:rsidR="00F0093F" w:rsidRPr="00BD2DF9">
        <w:rPr>
          <w:rFonts w:eastAsia="Calibri"/>
        </w:rPr>
        <w:t>ančias</w:t>
      </w:r>
      <w:r w:rsidR="00F0093F" w:rsidRPr="00F0093F">
        <w:rPr>
          <w:rFonts w:eastAsia="Calibri"/>
        </w:rPr>
        <w:t xml:space="preserve"> patiekalo gamybos išlaid</w:t>
      </w:r>
      <w:r w:rsidR="00F0093F" w:rsidRPr="00BD2DF9">
        <w:rPr>
          <w:rFonts w:eastAsia="Calibri"/>
        </w:rPr>
        <w:t>a</w:t>
      </w:r>
      <w:r w:rsidR="00F0093F" w:rsidRPr="00F0093F">
        <w:rPr>
          <w:rFonts w:eastAsia="Calibri"/>
        </w:rPr>
        <w:t xml:space="preserve">s </w:t>
      </w:r>
      <w:r w:rsidR="00F0093F" w:rsidRPr="00BD2DF9">
        <w:rPr>
          <w:rFonts w:eastAsia="Calibri"/>
        </w:rPr>
        <w:t>(</w:t>
      </w:r>
      <w:r w:rsidR="00F0093F" w:rsidRPr="00F0093F">
        <w:rPr>
          <w:rFonts w:eastAsia="Calibri"/>
        </w:rPr>
        <w:t>nuo faktinės lėšų sumos maisto produktams</w:t>
      </w:r>
      <w:r w:rsidR="00F0093F" w:rsidRPr="00BD2DF9">
        <w:rPr>
          <w:rFonts w:eastAsia="Calibri"/>
        </w:rPr>
        <w:t xml:space="preserve"> įsigyti) padidinti nuo 30 proc</w:t>
      </w:r>
      <w:r w:rsidR="00BD2DF9" w:rsidRPr="00BD2DF9">
        <w:rPr>
          <w:rFonts w:eastAsia="Calibri"/>
        </w:rPr>
        <w:t>entų</w:t>
      </w:r>
      <w:r w:rsidR="00F0093F" w:rsidRPr="00BD2DF9">
        <w:rPr>
          <w:rFonts w:eastAsia="Calibri"/>
        </w:rPr>
        <w:t xml:space="preserve"> iki 5</w:t>
      </w:r>
      <w:r w:rsidR="00F0093F" w:rsidRPr="00F0093F">
        <w:rPr>
          <w:rFonts w:eastAsia="Calibri"/>
        </w:rPr>
        <w:t>0 proc</w:t>
      </w:r>
      <w:r w:rsidR="00BD2DF9" w:rsidRPr="00BD2DF9">
        <w:rPr>
          <w:rFonts w:eastAsia="Calibri"/>
        </w:rPr>
        <w:t>entų</w:t>
      </w:r>
      <w:r w:rsidR="00F0093F" w:rsidRPr="00F0093F">
        <w:rPr>
          <w:rFonts w:eastAsia="Calibri"/>
        </w:rPr>
        <w:t xml:space="preserve">. </w:t>
      </w:r>
    </w:p>
    <w:p w14:paraId="435E482D" w14:textId="4BA36374" w:rsidR="00C11A17" w:rsidRPr="00BD2DF9" w:rsidRDefault="00EE280B" w:rsidP="00EE280B">
      <w:pPr>
        <w:tabs>
          <w:tab w:val="left" w:pos="0"/>
        </w:tabs>
        <w:spacing w:after="0" w:line="240" w:lineRule="auto"/>
        <w:ind w:firstLine="851"/>
        <w:jc w:val="both"/>
        <w:rPr>
          <w:rFonts w:eastAsia="Calibri"/>
        </w:rPr>
      </w:pPr>
      <w:r w:rsidRPr="00BD2DF9">
        <w:rPr>
          <w:rFonts w:eastAsia="Calibri"/>
        </w:rPr>
        <w:t>Nuo 202</w:t>
      </w:r>
      <w:r w:rsidR="00194159" w:rsidRPr="00BD2DF9">
        <w:rPr>
          <w:rFonts w:eastAsia="Calibri"/>
        </w:rPr>
        <w:t>6</w:t>
      </w:r>
      <w:r w:rsidRPr="00BD2DF9">
        <w:rPr>
          <w:rFonts w:eastAsia="Calibri"/>
        </w:rPr>
        <w:t xml:space="preserve"> m. rugsėjo 1</w:t>
      </w:r>
      <w:r w:rsidR="003A7846" w:rsidRPr="00BD2DF9">
        <w:rPr>
          <w:rFonts w:eastAsia="Calibri"/>
        </w:rPr>
        <w:t> </w:t>
      </w:r>
      <w:r w:rsidRPr="00BD2DF9">
        <w:rPr>
          <w:rFonts w:eastAsia="Calibri"/>
        </w:rPr>
        <w:t>d. mokyklų, savarankiškai organizuojančių mokinių maitinimą</w:t>
      </w:r>
      <w:r w:rsidR="003A7846" w:rsidRPr="00BD2DF9">
        <w:rPr>
          <w:rFonts w:eastAsia="Calibri"/>
        </w:rPr>
        <w:t>,</w:t>
      </w:r>
      <w:r w:rsidRPr="00BD2DF9">
        <w:rPr>
          <w:rFonts w:eastAsia="Calibri"/>
        </w:rPr>
        <w:t xml:space="preserve"> gretas papildys Kretingos rajono </w:t>
      </w:r>
      <w:r w:rsidR="00194159" w:rsidRPr="00BD2DF9">
        <w:rPr>
          <w:rFonts w:eastAsia="Calibri"/>
        </w:rPr>
        <w:t>Salantų</w:t>
      </w:r>
      <w:r w:rsidRPr="00BD2DF9">
        <w:rPr>
          <w:rFonts w:eastAsia="Calibri"/>
        </w:rPr>
        <w:t xml:space="preserve"> gimnazija, </w:t>
      </w:r>
      <w:r w:rsidR="00194159" w:rsidRPr="00BD2DF9">
        <w:rPr>
          <w:rFonts w:eastAsia="Calibri"/>
        </w:rPr>
        <w:t xml:space="preserve">Kretingos Marijono Daujoto progimnazija ir Kretingos Simono Daukanto progimnazija. </w:t>
      </w:r>
    </w:p>
    <w:p w14:paraId="5F4C095D" w14:textId="77777777" w:rsidR="00EE280B" w:rsidRPr="00BD2DF9" w:rsidRDefault="00EE280B" w:rsidP="00EE280B">
      <w:pPr>
        <w:tabs>
          <w:tab w:val="left" w:pos="0"/>
        </w:tabs>
        <w:autoSpaceDE w:val="0"/>
        <w:autoSpaceDN w:val="0"/>
        <w:adjustRightInd w:val="0"/>
        <w:spacing w:after="0" w:line="281" w:lineRule="exact"/>
        <w:ind w:firstLine="851"/>
        <w:jc w:val="both"/>
        <w:rPr>
          <w:rFonts w:eastAsia="Times New Roman"/>
          <w:b/>
          <w:szCs w:val="20"/>
          <w:lang w:eastAsia="lt-LT"/>
        </w:rPr>
      </w:pPr>
      <w:r w:rsidRPr="00BD2DF9">
        <w:rPr>
          <w:rFonts w:eastAsia="Times New Roman"/>
          <w:b/>
          <w:bCs/>
          <w:lang w:eastAsia="ru-RU"/>
        </w:rPr>
        <w:t>3.</w:t>
      </w:r>
      <w:r w:rsidRPr="00BD2DF9">
        <w:rPr>
          <w:rFonts w:eastAsia="Times New Roman"/>
          <w:bCs/>
          <w:lang w:eastAsia="ru-RU"/>
        </w:rPr>
        <w:t xml:space="preserve"> </w:t>
      </w:r>
      <w:r w:rsidRPr="00BD2DF9">
        <w:rPr>
          <w:rFonts w:eastAsia="Times New Roman"/>
          <w:b/>
          <w:szCs w:val="20"/>
          <w:lang w:eastAsia="lt-LT"/>
        </w:rPr>
        <w:t>Kokių rezultatų laukiama.</w:t>
      </w:r>
    </w:p>
    <w:p w14:paraId="0310191E" w14:textId="77777777" w:rsidR="00EE280B" w:rsidRPr="00BD2DF9" w:rsidRDefault="00EE280B" w:rsidP="00EE280B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eastAsia="Calibri"/>
        </w:rPr>
      </w:pPr>
      <w:r w:rsidRPr="00BD2DF9">
        <w:rPr>
          <w:rFonts w:eastAsia="Calibri"/>
        </w:rPr>
        <w:t xml:space="preserve">Aiškios mokinių maitinimo ir atsiskaitymo už maitinimą procedūros. </w:t>
      </w:r>
    </w:p>
    <w:p w14:paraId="1BA04FB2" w14:textId="77777777" w:rsidR="00EE280B" w:rsidRPr="00BD2DF9" w:rsidRDefault="00EE280B" w:rsidP="00EE280B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eastAsia="Times New Roman"/>
          <w:b/>
          <w:szCs w:val="20"/>
          <w:lang w:eastAsia="lt-LT"/>
        </w:rPr>
      </w:pPr>
      <w:r w:rsidRPr="00E5731A">
        <w:rPr>
          <w:rFonts w:eastAsia="Calibri"/>
          <w:b/>
          <w:bCs/>
        </w:rPr>
        <w:t>4.</w:t>
      </w:r>
      <w:r w:rsidRPr="00BD2DF9">
        <w:rPr>
          <w:rFonts w:eastAsia="Calibri"/>
        </w:rPr>
        <w:t xml:space="preserve"> </w:t>
      </w:r>
      <w:r w:rsidRPr="00BD2DF9">
        <w:rPr>
          <w:rFonts w:eastAsia="Times New Roman"/>
          <w:b/>
          <w:szCs w:val="20"/>
          <w:lang w:eastAsia="lt-LT"/>
        </w:rPr>
        <w:t>Lėšų poreikis ir šaltiniai.</w:t>
      </w:r>
    </w:p>
    <w:p w14:paraId="701E1131" w14:textId="77777777" w:rsidR="00EE280B" w:rsidRPr="00BD2DF9" w:rsidRDefault="00EE280B" w:rsidP="00EE280B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eastAsia="Times New Roman"/>
          <w:szCs w:val="20"/>
          <w:lang w:eastAsia="lt-LT"/>
        </w:rPr>
      </w:pPr>
      <w:r w:rsidRPr="00BD2DF9">
        <w:rPr>
          <w:rFonts w:eastAsia="Times New Roman"/>
          <w:szCs w:val="20"/>
          <w:lang w:eastAsia="lt-LT"/>
        </w:rPr>
        <w:t>Nereikia.</w:t>
      </w:r>
    </w:p>
    <w:p w14:paraId="4C86781D" w14:textId="77777777" w:rsidR="00EE280B" w:rsidRDefault="00EE280B" w:rsidP="00EE280B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contextualSpacing/>
        <w:jc w:val="both"/>
        <w:rPr>
          <w:rFonts w:eastAsia="Times New Roman"/>
          <w:b/>
          <w:szCs w:val="20"/>
          <w:lang w:eastAsia="lt-LT"/>
        </w:rPr>
      </w:pPr>
      <w:r w:rsidRPr="00BD2DF9">
        <w:rPr>
          <w:rFonts w:eastAsia="Times New Roman"/>
          <w:b/>
          <w:szCs w:val="20"/>
          <w:lang w:eastAsia="lt-LT"/>
        </w:rPr>
        <w:t>5. Kiti sprendimui priimti reikalingi pagrindimai, skaičiavimai ar paaiškinimai.</w:t>
      </w:r>
    </w:p>
    <w:p w14:paraId="2B9BC18A" w14:textId="5F1577EC" w:rsidR="00E5731A" w:rsidRPr="00E5731A" w:rsidRDefault="00E5731A" w:rsidP="00EE280B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contextualSpacing/>
        <w:jc w:val="both"/>
        <w:rPr>
          <w:rFonts w:eastAsia="Times New Roman"/>
          <w:bCs/>
          <w:szCs w:val="20"/>
          <w:lang w:eastAsia="lt-LT"/>
        </w:rPr>
      </w:pPr>
      <w:r w:rsidRPr="00E5731A">
        <w:rPr>
          <w:rFonts w:eastAsia="Times New Roman"/>
          <w:bCs/>
          <w:szCs w:val="20"/>
          <w:lang w:eastAsia="lt-LT"/>
        </w:rPr>
        <w:t>Nėra</w:t>
      </w:r>
      <w:r w:rsidR="00FC7B4E">
        <w:rPr>
          <w:rFonts w:eastAsia="Times New Roman"/>
          <w:bCs/>
          <w:szCs w:val="20"/>
          <w:lang w:eastAsia="lt-LT"/>
        </w:rPr>
        <w:t>.</w:t>
      </w:r>
    </w:p>
    <w:p w14:paraId="65177255" w14:textId="77777777" w:rsidR="00EE280B" w:rsidRPr="00BD2DF9" w:rsidRDefault="00EE280B" w:rsidP="00EE280B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eastAsia="Times New Roman"/>
          <w:b/>
          <w:szCs w:val="20"/>
          <w:lang w:eastAsia="lt-LT"/>
        </w:rPr>
      </w:pPr>
      <w:r w:rsidRPr="00BD2DF9">
        <w:rPr>
          <w:rFonts w:eastAsia="Times New Roman"/>
          <w:b/>
          <w:szCs w:val="20"/>
          <w:lang w:eastAsia="lt-LT"/>
        </w:rPr>
        <w:t>6. Teisės akto projekto antikorupcinio vertinimo išvada dėl sprendimo projekto teikimo antikorupciniam vertinimui.</w:t>
      </w:r>
    </w:p>
    <w:p w14:paraId="4F8A23A2" w14:textId="77777777" w:rsidR="00EE280B" w:rsidRPr="00BD2DF9" w:rsidRDefault="00EE280B" w:rsidP="00EE280B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BD2DF9">
        <w:rPr>
          <w:rFonts w:eastAsia="Calibri"/>
          <w:szCs w:val="20"/>
        </w:rPr>
        <w:t>Atliktas teisės akto projekto antikorupcinis vertinimas.</w:t>
      </w:r>
    </w:p>
    <w:p w14:paraId="0185E841" w14:textId="77777777" w:rsidR="00EE280B" w:rsidRPr="00BD2DF9" w:rsidRDefault="00EE280B" w:rsidP="00EE280B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eastAsia="Times New Roman"/>
          <w:b/>
          <w:szCs w:val="20"/>
          <w:lang w:eastAsia="lt-LT"/>
        </w:rPr>
      </w:pPr>
      <w:r w:rsidRPr="00BD2DF9">
        <w:rPr>
          <w:rFonts w:eastAsia="Times New Roman"/>
          <w:b/>
          <w:szCs w:val="20"/>
          <w:lang w:eastAsia="lt-LT"/>
        </w:rPr>
        <w:t xml:space="preserve">7. Autorius ar autorių grupės. </w:t>
      </w:r>
    </w:p>
    <w:p w14:paraId="6D00FDAF" w14:textId="21709244" w:rsidR="00CC6E62" w:rsidRPr="00BD2DF9" w:rsidRDefault="00EE280B" w:rsidP="008A0885">
      <w:pPr>
        <w:spacing w:after="0" w:line="240" w:lineRule="auto"/>
        <w:ind w:firstLine="851"/>
        <w:jc w:val="both"/>
      </w:pPr>
      <w:r w:rsidRPr="00BD2DF9">
        <w:rPr>
          <w:rFonts w:eastAsia="Times New Roman"/>
        </w:rPr>
        <w:t>Lina Jadenkuvienė, Švietimo skyriaus vyr. specialistė.</w:t>
      </w:r>
    </w:p>
    <w:sectPr w:rsidR="00CC6E62" w:rsidRPr="00BD2DF9" w:rsidSect="00497A35">
      <w:headerReference w:type="first" r:id="rId6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D421" w14:textId="77777777" w:rsidR="00444F29" w:rsidRDefault="00444F29">
      <w:pPr>
        <w:spacing w:after="0" w:line="240" w:lineRule="auto"/>
      </w:pPr>
      <w:r>
        <w:separator/>
      </w:r>
    </w:p>
  </w:endnote>
  <w:endnote w:type="continuationSeparator" w:id="0">
    <w:p w14:paraId="7E8BF955" w14:textId="77777777" w:rsidR="00444F29" w:rsidRDefault="0044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C235" w14:textId="77777777" w:rsidR="00444F29" w:rsidRDefault="00444F29">
      <w:pPr>
        <w:spacing w:after="0" w:line="240" w:lineRule="auto"/>
      </w:pPr>
      <w:r>
        <w:separator/>
      </w:r>
    </w:p>
  </w:footnote>
  <w:footnote w:type="continuationSeparator" w:id="0">
    <w:p w14:paraId="39E8636D" w14:textId="77777777" w:rsidR="00444F29" w:rsidRDefault="00444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DD14" w14:textId="0AD6EFC6" w:rsidR="00CC6E62" w:rsidRPr="00E84C8B" w:rsidRDefault="004B7F82" w:rsidP="00E84C8B">
    <w:pPr>
      <w:pStyle w:val="Antrats"/>
      <w:jc w:val="right"/>
      <w:rPr>
        <w:b/>
        <w:bCs/>
      </w:rPr>
    </w:pPr>
    <w:r>
      <w:rPr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0B"/>
    <w:rsid w:val="00113A54"/>
    <w:rsid w:val="00190AEB"/>
    <w:rsid w:val="00194159"/>
    <w:rsid w:val="00275BBA"/>
    <w:rsid w:val="002A2C2C"/>
    <w:rsid w:val="003A7846"/>
    <w:rsid w:val="003C4AA4"/>
    <w:rsid w:val="00444F29"/>
    <w:rsid w:val="004874C6"/>
    <w:rsid w:val="004B7F82"/>
    <w:rsid w:val="00546B54"/>
    <w:rsid w:val="00635A20"/>
    <w:rsid w:val="0064173E"/>
    <w:rsid w:val="007B6334"/>
    <w:rsid w:val="008A0885"/>
    <w:rsid w:val="009167E3"/>
    <w:rsid w:val="00976667"/>
    <w:rsid w:val="00B406F9"/>
    <w:rsid w:val="00BD2DF9"/>
    <w:rsid w:val="00C11A17"/>
    <w:rsid w:val="00CC6E62"/>
    <w:rsid w:val="00D22A53"/>
    <w:rsid w:val="00D315E1"/>
    <w:rsid w:val="00E35A6D"/>
    <w:rsid w:val="00E5731A"/>
    <w:rsid w:val="00EE280B"/>
    <w:rsid w:val="00F0093F"/>
    <w:rsid w:val="00FC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A41F"/>
  <w15:chartTrackingRefBased/>
  <w15:docId w15:val="{E00780BC-EFC2-4A2E-BE00-BAED7631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E280B"/>
    <w:pPr>
      <w:tabs>
        <w:tab w:val="center" w:pos="4819"/>
        <w:tab w:val="right" w:pos="9638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E280B"/>
    <w:rPr>
      <w:rFonts w:eastAsia="Times New Roman"/>
      <w:lang w:eastAsia="lt-LT"/>
    </w:rPr>
  </w:style>
  <w:style w:type="paragraph" w:styleId="Pataisymai">
    <w:name w:val="Revision"/>
    <w:hidden/>
    <w:uiPriority w:val="99"/>
    <w:semiHidden/>
    <w:rsid w:val="003A7846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0885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4B7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7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Jadenkuvienė</dc:creator>
  <cp:keywords/>
  <dc:description/>
  <cp:lastModifiedBy>Lina Jadenkuvienė</cp:lastModifiedBy>
  <cp:revision>7</cp:revision>
  <dcterms:created xsi:type="dcterms:W3CDTF">2026-06-11T12:49:00Z</dcterms:created>
  <dcterms:modified xsi:type="dcterms:W3CDTF">2026-06-15T06:37:00Z</dcterms:modified>
</cp:coreProperties>
</file>