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E3B2" w14:textId="77777777" w:rsidR="00FF2E76" w:rsidRPr="00B0179A" w:rsidRDefault="00FF2E76" w:rsidP="00FF2E76">
      <w:pPr>
        <w:jc w:val="center"/>
        <w:rPr>
          <w:b/>
          <w:caps/>
        </w:rPr>
      </w:pPr>
      <w:r w:rsidRPr="00B0179A">
        <w:rPr>
          <w:b/>
          <w:caps/>
        </w:rPr>
        <w:t>Aiškinamasis raštas</w:t>
      </w:r>
    </w:p>
    <w:p w14:paraId="20E7F9AF" w14:textId="02F2FA5C" w:rsidR="00FF2E76" w:rsidRPr="00626359" w:rsidRDefault="00FF2E76" w:rsidP="00FF2E76">
      <w:pPr>
        <w:jc w:val="center"/>
        <w:rPr>
          <w:b/>
          <w:bCs/>
        </w:rPr>
      </w:pPr>
      <w:r w:rsidRPr="00626359">
        <w:rPr>
          <w:b/>
          <w:bCs/>
        </w:rPr>
        <w:t>PRIE KRETINGOS RAJONO SAVIVALDYBĖS TARYBOS SPRENDIMO PROJEKTO</w:t>
      </w:r>
      <w:r>
        <w:rPr>
          <w:b/>
          <w:bCs/>
        </w:rPr>
        <w:t xml:space="preserve"> „</w:t>
      </w:r>
      <w:r w:rsidRPr="00B0179A">
        <w:rPr>
          <w:b/>
          <w:bCs/>
        </w:rPr>
        <w:t>DĖL UAB KRETINGOS ŠILUMOS TINKLŲ 202</w:t>
      </w:r>
      <w:r w:rsidR="00F92F87">
        <w:rPr>
          <w:b/>
          <w:bCs/>
        </w:rPr>
        <w:t>7</w:t>
      </w:r>
      <w:r w:rsidRPr="00B0179A">
        <w:rPr>
          <w:b/>
          <w:bCs/>
        </w:rPr>
        <w:t xml:space="preserve"> METŲ INVESTICIJŲ PLANO DERINIMO“</w:t>
      </w:r>
    </w:p>
    <w:p w14:paraId="7E627621" w14:textId="77777777" w:rsidR="00FF2E76" w:rsidRPr="0017395B" w:rsidRDefault="00FF2E76" w:rsidP="00FF2E76">
      <w:pPr>
        <w:jc w:val="center"/>
      </w:pPr>
    </w:p>
    <w:p w14:paraId="225ABBBD" w14:textId="451817AF" w:rsidR="00FF2E76" w:rsidRPr="00B0179A" w:rsidRDefault="00FF2E76" w:rsidP="00FF2E76">
      <w:pPr>
        <w:jc w:val="center"/>
        <w:rPr>
          <w:caps/>
        </w:rPr>
      </w:pPr>
      <w:r w:rsidRPr="00B0179A">
        <w:t>202</w:t>
      </w:r>
      <w:r w:rsidR="00F92F87">
        <w:t>6</w:t>
      </w:r>
      <w:r w:rsidRPr="00B0179A">
        <w:t xml:space="preserve"> m. </w:t>
      </w:r>
      <w:r w:rsidR="00F92F87">
        <w:t>balandž</w:t>
      </w:r>
      <w:r>
        <w:t>io</w:t>
      </w:r>
      <w:r w:rsidRPr="00B0179A">
        <w:t xml:space="preserve"> 1</w:t>
      </w:r>
      <w:r w:rsidR="00205717">
        <w:t>0</w:t>
      </w:r>
      <w:r w:rsidRPr="00B0179A">
        <w:t xml:space="preserve"> d.</w:t>
      </w:r>
    </w:p>
    <w:p w14:paraId="0DE0FCEF" w14:textId="77777777" w:rsidR="00FF2E76" w:rsidRPr="00B0179A" w:rsidRDefault="00FF2E76" w:rsidP="00FF2E76">
      <w:pPr>
        <w:jc w:val="center"/>
        <w:rPr>
          <w:b/>
        </w:rPr>
      </w:pPr>
      <w:r w:rsidRPr="00B0179A">
        <w:t>Kretinga</w:t>
      </w:r>
    </w:p>
    <w:p w14:paraId="0B5403F1" w14:textId="77777777" w:rsidR="00FF2E76" w:rsidRPr="0017395B" w:rsidRDefault="00FF2E76" w:rsidP="00FF2E76">
      <w:pPr>
        <w:rPr>
          <w:bCs/>
        </w:rPr>
      </w:pPr>
    </w:p>
    <w:p w14:paraId="3127E0FC" w14:textId="77777777" w:rsidR="00FF2E76" w:rsidRPr="00147BAB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5852EA">
        <w:rPr>
          <w:rFonts w:ascii="Times New Roman" w:hAnsi="Times New Roman"/>
          <w:b/>
        </w:rPr>
        <w:t>Parengto sprendimo projekto tikslas ir uždaviniai.</w:t>
      </w:r>
    </w:p>
    <w:p w14:paraId="61EEF25F" w14:textId="07E8AEEE" w:rsidR="00FF2E76" w:rsidRPr="00B0179A" w:rsidRDefault="00F92F87" w:rsidP="00FF2E76">
      <w:pPr>
        <w:ind w:firstLine="720"/>
        <w:jc w:val="both"/>
      </w:pPr>
      <w:r>
        <w:t>Suderinti</w:t>
      </w:r>
      <w:r w:rsidRPr="0044303D">
        <w:t xml:space="preserve"> UAB Kretingos šilumos tinklų 202</w:t>
      </w:r>
      <w:r w:rsidR="005128CE">
        <w:t>7</w:t>
      </w:r>
      <w:r w:rsidRPr="0044303D">
        <w:t xml:space="preserve"> metų investicijų planą.</w:t>
      </w:r>
    </w:p>
    <w:p w14:paraId="26D503A6" w14:textId="77777777" w:rsidR="00FF2E76" w:rsidRDefault="00FF2E76" w:rsidP="00FF2E76">
      <w:pPr>
        <w:widowControl/>
        <w:suppressAutoHyphens w:val="0"/>
        <w:ind w:firstLine="720"/>
        <w:jc w:val="both"/>
        <w:rPr>
          <w:b/>
        </w:rPr>
      </w:pPr>
      <w:r w:rsidRPr="00147BAB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4855FEB" w14:textId="181B119D" w:rsidR="009C4432" w:rsidRDefault="009C4432" w:rsidP="009C4432">
      <w:pPr>
        <w:ind w:firstLine="720"/>
        <w:jc w:val="both"/>
      </w:pPr>
      <w:r w:rsidRPr="00B0179A">
        <w:t>Lietuvos Respublikos šilumos ūkio įstatymo 35 straipsn</w:t>
      </w:r>
      <w:r>
        <w:t>yje nustatyta, kad š</w:t>
      </w:r>
      <w:r w:rsidRPr="004F7E0A">
        <w:t xml:space="preserve">ilumos tiekėjų investicijos derinamos su savivaldybės institucija ir </w:t>
      </w:r>
      <w:r>
        <w:t>Valstybine energetikos reguliavimo t</w:t>
      </w:r>
      <w:r w:rsidRPr="004F7E0A">
        <w:t>aryba</w:t>
      </w:r>
      <w:bookmarkStart w:id="0" w:name="n44cdb35daba4437f84f5ba81ea90024e"/>
      <w:r w:rsidR="009D4486">
        <w:t xml:space="preserve"> (toliau - VERT)</w:t>
      </w:r>
      <w:r>
        <w:t xml:space="preserve"> Lietuvos Respublikos </w:t>
      </w:r>
      <w:hyperlink r:id="rId8" w:tgtFrame="_blank" w:tooltip="Lietuvos Respublikos energetikos įstatymas" w:history="1">
        <w:r w:rsidRPr="004F7E0A">
          <w:rPr>
            <w:rStyle w:val="Hipersaitas"/>
            <w:color w:val="auto"/>
            <w:u w:val="none"/>
          </w:rPr>
          <w:t>energetikos įstatymo</w:t>
        </w:r>
      </w:hyperlink>
      <w:bookmarkStart w:id="1" w:name="n4b6f5dce12fe4af2923d3f8c999d74e4"/>
      <w:bookmarkEnd w:id="0"/>
      <w:r>
        <w:t xml:space="preserve"> </w:t>
      </w:r>
      <w:hyperlink r:id="rId9" w:tooltip="Energetikos objektų, įrenginių statyba, plėtra ir rekonstrukcija (str. 15)" w:history="1">
        <w:r w:rsidRPr="004F7E0A">
          <w:rPr>
            <w:rStyle w:val="Hipersaitas"/>
            <w:color w:val="auto"/>
            <w:u w:val="none"/>
          </w:rPr>
          <w:t>15</w:t>
        </w:r>
      </w:hyperlink>
      <w:bookmarkEnd w:id="1"/>
      <w:r>
        <w:t xml:space="preserve"> </w:t>
      </w:r>
      <w:r w:rsidRPr="004F7E0A">
        <w:t>straipsnyje nustatyta tvarka</w:t>
      </w:r>
      <w:r>
        <w:t xml:space="preserve">. </w:t>
      </w:r>
      <w:r w:rsidRPr="004F7E0A">
        <w:t xml:space="preserve">Energetikos įmonės, kurios verčiasi veikla, kurios kainos yra reguliuojamos, numatomas investicijas turi derinti su </w:t>
      </w:r>
      <w:r w:rsidR="009D4486">
        <w:t>VERT</w:t>
      </w:r>
      <w:r w:rsidRPr="004F7E0A">
        <w:t xml:space="preserve">. Jeigu šios energetikos įmonių investicijos nėra suderintos su </w:t>
      </w:r>
      <w:r>
        <w:t>V</w:t>
      </w:r>
      <w:r w:rsidR="009D4486">
        <w:t>ERT</w:t>
      </w:r>
      <w:r w:rsidRPr="004F7E0A">
        <w:t>, jos negali būti pripažintos pagrįstomis valstybės reguliuojamoms kainoms peržiūrėti.</w:t>
      </w:r>
    </w:p>
    <w:p w14:paraId="0D04D4BC" w14:textId="014B51E8" w:rsidR="00C7223D" w:rsidRPr="00C7223D" w:rsidRDefault="00B54D21" w:rsidP="00C7223D">
      <w:pPr>
        <w:ind w:firstLine="720"/>
        <w:jc w:val="both"/>
      </w:pPr>
      <w:r>
        <w:rPr>
          <w:bCs/>
        </w:rPr>
        <w:t xml:space="preserve">Lietuvos Respublikos aplinkos ministerijos </w:t>
      </w:r>
      <w:r w:rsidRPr="00AE6C68">
        <w:rPr>
          <w:bCs/>
        </w:rPr>
        <w:t>Aplinkos projektų valdymo agentūra (toliau – APVA)</w:t>
      </w:r>
      <w:r w:rsidR="00C7223D">
        <w:rPr>
          <w:bCs/>
        </w:rPr>
        <w:t xml:space="preserve"> 2026 m. balandžio 3 d.</w:t>
      </w:r>
      <w:r w:rsidRPr="00AE6C68">
        <w:rPr>
          <w:bCs/>
        </w:rPr>
        <w:t xml:space="preserve"> paskelbė kvietimą teikti </w:t>
      </w:r>
      <w:r w:rsidR="00C7223D">
        <w:rPr>
          <w:bCs/>
        </w:rPr>
        <w:t xml:space="preserve">paraiškas </w:t>
      </w:r>
      <w:r w:rsidR="00C7223D" w:rsidRPr="00C7223D">
        <w:t>iškastinio kuro ir nusidėvėjusių biokurą naudojančių katilų keitim</w:t>
      </w:r>
      <w:r w:rsidR="00C7223D">
        <w:t>ui</w:t>
      </w:r>
      <w:r w:rsidR="00C7223D" w:rsidRPr="00C7223D">
        <w:t xml:space="preserve"> naujais (iki 3 MW vardinės (nominalios) šiluminės galios) biokurą ar kitais atsinaujinančius energijos išteklius naudojančiais šilumos gamybos įrenginiais centralizuoto šilumos tiekimo sistemose</w:t>
      </w:r>
      <w:r w:rsidR="00C7223D">
        <w:t xml:space="preserve">. Paraiškos priimamos iki </w:t>
      </w:r>
      <w:r w:rsidR="00C7223D" w:rsidRPr="00C7223D">
        <w:t>2026 m. gegužės 4 d.</w:t>
      </w:r>
    </w:p>
    <w:p w14:paraId="293F22F0" w14:textId="5392E923" w:rsidR="005128CE" w:rsidRPr="00B0179A" w:rsidRDefault="00B54D21" w:rsidP="00FF2E76">
      <w:pPr>
        <w:ind w:firstLine="720"/>
        <w:jc w:val="both"/>
      </w:pPr>
      <w:r w:rsidRPr="00AE6C68">
        <w:rPr>
          <w:bCs/>
        </w:rPr>
        <w:t>Vienas iš reikalavimų</w:t>
      </w:r>
      <w:r w:rsidR="00831C49">
        <w:rPr>
          <w:rStyle w:val="Puslapioinaosnuoroda"/>
          <w:bCs/>
        </w:rPr>
        <w:footnoteReference w:id="1"/>
      </w:r>
      <w:r w:rsidRPr="00AE6C68">
        <w:rPr>
          <w:bCs/>
        </w:rPr>
        <w:t xml:space="preserve">, teikiant paraiškas finansavimui gauti, kad investicijos būtų suderintos VERT. </w:t>
      </w:r>
      <w:r w:rsidR="00C7223D">
        <w:t xml:space="preserve">Jei paraiškos teikimo metu VERT suderinimo dokumentai dar nėra gauti, kartu su paraiška pateikiama informacija, įrodanti, kad derinimo procesas pradėtas. Prieš </w:t>
      </w:r>
      <w:r w:rsidR="009D4486">
        <w:t>pateikiant VERT</w:t>
      </w:r>
      <w:r w:rsidR="00B63693">
        <w:t>,</w:t>
      </w:r>
      <w:r w:rsidR="00C7223D">
        <w:t xml:space="preserve"> </w:t>
      </w:r>
      <w:r w:rsidRPr="00AE6C68">
        <w:rPr>
          <w:rFonts w:eastAsiaTheme="minorHAnsi"/>
          <w:bCs/>
          <w:lang w:eastAsia="en-US"/>
        </w:rPr>
        <w:t>teikiamos derinti investicijos turi būti suderintos su savivaldybės institucija</w:t>
      </w:r>
      <w:r w:rsidR="00C7223D">
        <w:rPr>
          <w:rFonts w:eastAsiaTheme="minorHAnsi"/>
          <w:bCs/>
          <w:lang w:eastAsia="en-US"/>
        </w:rPr>
        <w:t>.</w:t>
      </w:r>
    </w:p>
    <w:p w14:paraId="2BFE64E5" w14:textId="4FA12A2F" w:rsidR="00B63693" w:rsidRPr="00B63693" w:rsidRDefault="00B63693" w:rsidP="00B63693">
      <w:pPr>
        <w:ind w:firstLine="720"/>
        <w:jc w:val="both"/>
      </w:pPr>
      <w:r w:rsidRPr="00B63693">
        <w:t xml:space="preserve">UAB Kretingos šilumos tinklai (toliau – Bendrovė) 2026 m. balandžio 10 d. raštu </w:t>
      </w:r>
      <w:r w:rsidRPr="00B63693">
        <w:rPr>
          <w:spacing w:val="5"/>
        </w:rPr>
        <w:t>Nr. R2-</w:t>
      </w:r>
      <w:r w:rsidR="00424DEC">
        <w:rPr>
          <w:spacing w:val="5"/>
        </w:rPr>
        <w:t>68</w:t>
      </w:r>
      <w:r w:rsidRPr="00B63693">
        <w:rPr>
          <w:spacing w:val="5"/>
        </w:rPr>
        <w:t xml:space="preserve"> „</w:t>
      </w:r>
      <w:r w:rsidRPr="00B63693">
        <w:t>Dėl 2027 metų investicijų plano derinimo“ pateikė Kretingos rajono savivaldybei prašymą derinti 2027 metų investicijų planą.</w:t>
      </w:r>
    </w:p>
    <w:p w14:paraId="4A8CB842" w14:textId="0DD823C7" w:rsidR="00A0727C" w:rsidRPr="00A0727C" w:rsidRDefault="00B63693" w:rsidP="00B63693">
      <w:pPr>
        <w:ind w:firstLine="720"/>
        <w:jc w:val="both"/>
        <w:rPr>
          <w:bCs/>
        </w:rPr>
      </w:pPr>
      <w:r w:rsidRPr="00A0727C">
        <w:rPr>
          <w:bCs/>
        </w:rPr>
        <w:t xml:space="preserve">Bendrovė planuoja teikti paraiškas investicinių projektų paramai </w:t>
      </w:r>
      <w:r w:rsidR="004233FE" w:rsidRPr="00A0727C">
        <w:rPr>
          <w:bCs/>
        </w:rPr>
        <w:t>penkio</w:t>
      </w:r>
      <w:r w:rsidRPr="00A0727C">
        <w:rPr>
          <w:bCs/>
        </w:rPr>
        <w:t xml:space="preserve">se katilinėse gauti. </w:t>
      </w:r>
      <w:r w:rsidR="00A0727C" w:rsidRPr="00A0727C">
        <w:rPr>
          <w:rFonts w:eastAsia="Times New Roman"/>
          <w:lang w:eastAsia="lt-LT"/>
        </w:rPr>
        <w:t>Kūlupėnų katilinėje biokuro granulių katilo</w:t>
      </w:r>
      <w:r w:rsidR="00CC6ACE">
        <w:rPr>
          <w:rFonts w:eastAsia="Times New Roman"/>
          <w:lang w:eastAsia="lt-LT"/>
        </w:rPr>
        <w:t xml:space="preserve"> (</w:t>
      </w:r>
      <w:r w:rsidR="00CC6ACE" w:rsidRPr="00CC6ACE">
        <w:rPr>
          <w:rFonts w:eastAsia="Times New Roman"/>
          <w:lang w:eastAsia="lt-LT"/>
        </w:rPr>
        <w:t>124 kW</w:t>
      </w:r>
      <w:r w:rsidR="00CC6ACE">
        <w:rPr>
          <w:rFonts w:eastAsia="Times New Roman"/>
          <w:lang w:eastAsia="lt-LT"/>
        </w:rPr>
        <w:t>)</w:t>
      </w:r>
      <w:r w:rsidR="00A0727C" w:rsidRPr="00A0727C">
        <w:rPr>
          <w:rFonts w:eastAsia="Times New Roman"/>
          <w:lang w:eastAsia="lt-LT"/>
        </w:rPr>
        <w:t xml:space="preserve"> įrengimo investicija suderinta </w:t>
      </w:r>
      <w:r w:rsidR="00A0727C">
        <w:rPr>
          <w:rFonts w:eastAsia="Times New Roman"/>
          <w:lang w:eastAsia="lt-LT"/>
        </w:rPr>
        <w:t xml:space="preserve">anksčiau </w:t>
      </w:r>
      <w:r w:rsidR="00A0727C" w:rsidRPr="00A0727C">
        <w:rPr>
          <w:rFonts w:eastAsia="Times New Roman"/>
          <w:lang w:eastAsia="lt-LT"/>
        </w:rPr>
        <w:t>su Savivaldybės taryba</w:t>
      </w:r>
      <w:r w:rsidR="00A0727C">
        <w:rPr>
          <w:rStyle w:val="Puslapioinaosnuoroda"/>
          <w:rFonts w:eastAsia="Times New Roman"/>
          <w:lang w:eastAsia="lt-LT"/>
        </w:rPr>
        <w:footnoteReference w:id="2"/>
      </w:r>
      <w:r w:rsidR="00A0727C" w:rsidRPr="00A0727C">
        <w:rPr>
          <w:rFonts w:eastAsia="Times New Roman"/>
          <w:lang w:eastAsia="lt-LT"/>
        </w:rPr>
        <w:t xml:space="preserve"> ir VERT. Šiuo sprendimo projektu siūloma derinti biokuro katilų įrengimą dar keturiose katilinėse.</w:t>
      </w:r>
    </w:p>
    <w:p w14:paraId="57F29E84" w14:textId="44CF91CA" w:rsidR="00B63693" w:rsidRDefault="00B63693" w:rsidP="00B63693">
      <w:pPr>
        <w:ind w:firstLine="720"/>
        <w:jc w:val="both"/>
      </w:pPr>
      <w:r w:rsidRPr="00B63693">
        <w:rPr>
          <w:bCs/>
        </w:rPr>
        <w:t>Investicijos planuojamos 2027 m., bendra teikiamų derinti investicijų suma 7</w:t>
      </w:r>
      <w:r w:rsidR="004233FE">
        <w:rPr>
          <w:bCs/>
        </w:rPr>
        <w:t>10,1</w:t>
      </w:r>
      <w:r w:rsidRPr="00B63693">
        <w:rPr>
          <w:bCs/>
        </w:rPr>
        <w:t xml:space="preserve"> tūkst. Eur. Investicijų finansavimui numatytos lėšos: APVA 45 proc. parama – 3</w:t>
      </w:r>
      <w:r w:rsidR="004233FE">
        <w:rPr>
          <w:bCs/>
        </w:rPr>
        <w:t>19</w:t>
      </w:r>
      <w:r w:rsidRPr="00B63693">
        <w:rPr>
          <w:bCs/>
        </w:rPr>
        <w:t>,5 tūkst. Eur, skolintos lėšos – 3</w:t>
      </w:r>
      <w:r w:rsidR="004233FE">
        <w:rPr>
          <w:bCs/>
        </w:rPr>
        <w:t>1</w:t>
      </w:r>
      <w:r w:rsidRPr="00B63693">
        <w:rPr>
          <w:bCs/>
        </w:rPr>
        <w:t>9,</w:t>
      </w:r>
      <w:r w:rsidR="004233FE">
        <w:rPr>
          <w:bCs/>
        </w:rPr>
        <w:t>5</w:t>
      </w:r>
      <w:r w:rsidRPr="00B63693">
        <w:rPr>
          <w:bCs/>
        </w:rPr>
        <w:t xml:space="preserve"> tūkst. Eur. Pateiktos derinti investicijos bus įgyvendinamos tik gavus APVA paramą, priešingu atveju, atlikus investicijų vertinimus, jų pobūdis, finansavimo šaltiniai ir atlikimo terminai bus koreguojami. Derinamos investicijos numatytos Bendrovės 2024 – 2028 metų strateginiame veiklos plane</w:t>
      </w:r>
      <w:r w:rsidR="00F00D06">
        <w:rPr>
          <w:rStyle w:val="Puslapioinaosnuoroda"/>
          <w:bCs/>
        </w:rPr>
        <w:footnoteReference w:id="3"/>
      </w:r>
      <w:r w:rsidRPr="00B63693">
        <w:rPr>
          <w:bCs/>
        </w:rPr>
        <w:t xml:space="preserve">, taip pat Bendrovės </w:t>
      </w:r>
      <w:r w:rsidRPr="00B63693">
        <w:t xml:space="preserve">2027 m. investicijų planas suderintas Bendrovės valdybos 2026 m. balandžio </w:t>
      </w:r>
      <w:r w:rsidR="00D50812">
        <w:t>10</w:t>
      </w:r>
      <w:r w:rsidRPr="00B63693">
        <w:t xml:space="preserve"> d. protokol</w:t>
      </w:r>
      <w:r w:rsidR="00D50812">
        <w:t>u</w:t>
      </w:r>
      <w:r w:rsidRPr="00B63693">
        <w:t xml:space="preserve"> Nr. R8-5.</w:t>
      </w:r>
    </w:p>
    <w:p w14:paraId="60DB5514" w14:textId="5B965E4B" w:rsidR="00FD43C8" w:rsidRDefault="00CC6ACE" w:rsidP="00B63693">
      <w:pPr>
        <w:ind w:firstLine="720"/>
        <w:jc w:val="both"/>
      </w:pPr>
      <w:r>
        <w:rPr>
          <w:bCs/>
        </w:rPr>
        <w:t>Bendrovės 2027 m. i</w:t>
      </w:r>
      <w:r w:rsidRPr="00AE6C68">
        <w:rPr>
          <w:bCs/>
        </w:rPr>
        <w:t xml:space="preserve">nvesticinis planas paruoštas vadovaujantis </w:t>
      </w:r>
      <w:r w:rsidRPr="00AE6C68">
        <w:t>UAB Kretingos šilumos tinklų šilumos ūkio plėtros investiciniu planu</w:t>
      </w:r>
      <w:r>
        <w:rPr>
          <w:rStyle w:val="Puslapioinaosnuoroda"/>
        </w:rPr>
        <w:footnoteReference w:id="4"/>
      </w:r>
      <w:r w:rsidRPr="00AE6C68">
        <w:t xml:space="preserve"> (toliau – Plėtros planas). Plėtros plane numatytos investicijų </w:t>
      </w:r>
      <w:r w:rsidRPr="00AE6C68">
        <w:lastRenderedPageBreak/>
        <w:t>vertės padidintos 30 proc. ir pateiktas pretenduojančių gauti APVA paramą investicijų, įvertinus paramos dalį (45 proc.), palyginimas su Plėtros plane vertintomis alternatyvomis.</w:t>
      </w:r>
    </w:p>
    <w:tbl>
      <w:tblPr>
        <w:tblW w:w="9634" w:type="dxa"/>
        <w:jc w:val="right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992"/>
        <w:gridCol w:w="1985"/>
        <w:gridCol w:w="1275"/>
      </w:tblGrid>
      <w:tr w:rsidR="00FF2E76" w:rsidRPr="00B0179A" w14:paraId="177A158B" w14:textId="77777777" w:rsidTr="0012316E">
        <w:trPr>
          <w:trHeight w:val="286"/>
          <w:jc w:val="right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342D269" w14:textId="77777777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Investicijos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58EE035" w14:textId="52F3E385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Investicijos vertė tūkst.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53C37D5" w14:textId="77777777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Metai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236B368" w14:textId="77777777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Lėšų šaltinis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78D6C21" w14:textId="312A1490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Derinamų investicijų įtaka šilumos kainai, ct/kWh (</w:t>
            </w:r>
            <w:r w:rsidR="00A2734A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10 m. </w:t>
            </w: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vidutiniškai)</w:t>
            </w:r>
          </w:p>
        </w:tc>
      </w:tr>
      <w:tr w:rsidR="0017395B" w:rsidRPr="00B0179A" w14:paraId="55C72E80" w14:textId="77777777" w:rsidTr="0012316E">
        <w:trPr>
          <w:trHeight w:val="276"/>
          <w:jc w:val="right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FB348A" w14:textId="569E56FB" w:rsidR="0012316E" w:rsidRPr="00A2734A" w:rsidRDefault="00A2734A" w:rsidP="0017395B">
            <w:pPr>
              <w:rPr>
                <w:rFonts w:eastAsia="Calibri"/>
                <w:sz w:val="22"/>
                <w:szCs w:val="22"/>
              </w:rPr>
            </w:pPr>
            <w:r w:rsidRPr="00A2734A">
              <w:rPr>
                <w:rFonts w:eastAsia="Calibri"/>
                <w:sz w:val="22"/>
                <w:szCs w:val="22"/>
              </w:rPr>
              <w:t>Katilinėje Nr. 5 biokuro granulių katilų įrengimas</w:t>
            </w:r>
            <w:r w:rsidR="00205717">
              <w:rPr>
                <w:rFonts w:eastAsia="Calibri"/>
                <w:sz w:val="22"/>
                <w:szCs w:val="22"/>
              </w:rPr>
              <w:t xml:space="preserve"> (</w:t>
            </w:r>
            <w:r w:rsidR="00205717" w:rsidRPr="00205717">
              <w:rPr>
                <w:rFonts w:eastAsia="Calibri"/>
                <w:sz w:val="22"/>
                <w:szCs w:val="22"/>
              </w:rPr>
              <w:t>Pasieniečių g. 25A, Kretingos m.</w:t>
            </w:r>
            <w:r w:rsidR="00205717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31B873E" w14:textId="71E572E1" w:rsidR="0017395B" w:rsidRPr="00B0179A" w:rsidRDefault="00831C49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149</w:t>
            </w:r>
            <w:r w:rsidR="0017395B" w:rsidRPr="004C11D9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2205221" w14:textId="7EF42071" w:rsidR="0017395B" w:rsidRPr="00B0179A" w:rsidRDefault="00A2734A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CFB9874" w14:textId="30905DBC" w:rsidR="0017395B" w:rsidRPr="00B0179A" w:rsidRDefault="00831C49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2560">
              <w:rPr>
                <w:rFonts w:eastAsia="Times New Roman"/>
                <w:color w:val="000000"/>
                <w:sz w:val="20"/>
                <w:szCs w:val="20"/>
              </w:rPr>
              <w:t>ES fondų</w:t>
            </w:r>
            <w:r w:rsidR="0012316E">
              <w:rPr>
                <w:rFonts w:eastAsia="Times New Roman"/>
                <w:color w:val="000000"/>
                <w:sz w:val="20"/>
                <w:szCs w:val="20"/>
              </w:rPr>
              <w:t xml:space="preserve"> (67,4 tūkst. Eur)</w:t>
            </w:r>
            <w:r w:rsidRPr="00F22560">
              <w:rPr>
                <w:rFonts w:eastAsia="Times New Roman"/>
                <w:color w:val="000000"/>
                <w:sz w:val="20"/>
                <w:szCs w:val="20"/>
              </w:rPr>
              <w:t xml:space="preserve"> ir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7395B">
              <w:rPr>
                <w:rFonts w:eastAsia="Times New Roman"/>
                <w:color w:val="000000"/>
                <w:sz w:val="20"/>
                <w:szCs w:val="20"/>
              </w:rPr>
              <w:t>skolintos lėšos</w:t>
            </w:r>
            <w:r w:rsidR="0012316E">
              <w:rPr>
                <w:rFonts w:eastAsia="Times New Roman"/>
                <w:color w:val="000000"/>
                <w:sz w:val="20"/>
                <w:szCs w:val="20"/>
              </w:rPr>
              <w:t xml:space="preserve"> (82,4 tūkst. Eur)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B145328" w14:textId="0B301154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-0,0</w:t>
            </w:r>
            <w:r w:rsidR="00A2734A">
              <w:rPr>
                <w:rFonts w:eastAsia="Times New Roman"/>
                <w:color w:val="000000"/>
                <w:sz w:val="20"/>
                <w:szCs w:val="20"/>
              </w:rPr>
              <w:t>584</w:t>
            </w:r>
          </w:p>
        </w:tc>
      </w:tr>
      <w:tr w:rsidR="0017395B" w:rsidRPr="00B0179A" w14:paraId="745CB390" w14:textId="77777777" w:rsidTr="0012316E">
        <w:trPr>
          <w:trHeight w:val="240"/>
          <w:jc w:val="right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FBFD6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F5EB0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8000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2F6F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67F9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4AFA8920" w14:textId="77777777" w:rsidTr="0012316E">
        <w:trPr>
          <w:trHeight w:val="230"/>
          <w:jc w:val="right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1A21C" w14:textId="15F2E1D8" w:rsidR="0017395B" w:rsidRPr="00B0179A" w:rsidRDefault="00A2734A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A2734A">
              <w:rPr>
                <w:rFonts w:eastAsia="Times New Roman"/>
                <w:sz w:val="22"/>
                <w:szCs w:val="22"/>
                <w:lang w:eastAsia="lt-LT"/>
              </w:rPr>
              <w:t>Katilinėje Nr. 8 biokuro granulių katilo įrengimas</w:t>
            </w:r>
            <w:r w:rsidR="00205717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r w:rsidR="00205717" w:rsidRPr="00205717">
              <w:rPr>
                <w:rFonts w:eastAsia="Times New Roman"/>
                <w:sz w:val="22"/>
                <w:szCs w:val="22"/>
                <w:lang w:eastAsia="lt-LT"/>
              </w:rPr>
              <w:t>Atžalyno g. 2A</w:t>
            </w:r>
            <w:r w:rsidR="00205717">
              <w:rPr>
                <w:rFonts w:eastAsia="Times New Roman"/>
                <w:sz w:val="22"/>
                <w:szCs w:val="22"/>
                <w:lang w:eastAsia="lt-LT"/>
              </w:rPr>
              <w:t>, Vydmantai)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DD51" w14:textId="45DE27F6" w:rsidR="0017395B" w:rsidRPr="00B0179A" w:rsidRDefault="00831C49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B61C4" w14:textId="3802BF3A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A2734A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26110" w14:textId="70880BB0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2560">
              <w:rPr>
                <w:rFonts w:eastAsia="Times New Roman"/>
                <w:color w:val="000000"/>
                <w:sz w:val="20"/>
                <w:szCs w:val="20"/>
              </w:rPr>
              <w:t>ES fondų</w:t>
            </w:r>
            <w:r w:rsidR="0012316E">
              <w:rPr>
                <w:rFonts w:eastAsia="Times New Roman"/>
                <w:color w:val="000000"/>
                <w:sz w:val="20"/>
                <w:szCs w:val="20"/>
              </w:rPr>
              <w:t xml:space="preserve"> (41,2 tūkst. Eur)</w:t>
            </w:r>
            <w:r w:rsidRPr="00F22560">
              <w:rPr>
                <w:rFonts w:eastAsia="Times New Roman"/>
                <w:color w:val="000000"/>
                <w:sz w:val="20"/>
                <w:szCs w:val="20"/>
              </w:rPr>
              <w:t xml:space="preserve"> ir </w:t>
            </w:r>
            <w:r w:rsidR="00831C49">
              <w:rPr>
                <w:rFonts w:eastAsia="Times New Roman"/>
                <w:color w:val="000000"/>
                <w:sz w:val="20"/>
                <w:szCs w:val="20"/>
              </w:rPr>
              <w:t>skolint</w:t>
            </w:r>
            <w:r w:rsidRPr="00F22560">
              <w:rPr>
                <w:rFonts w:eastAsia="Times New Roman"/>
                <w:color w:val="000000"/>
                <w:sz w:val="20"/>
                <w:szCs w:val="20"/>
              </w:rPr>
              <w:t>os lėšos</w:t>
            </w:r>
            <w:r w:rsidR="0012316E">
              <w:rPr>
                <w:rFonts w:eastAsia="Times New Roman"/>
                <w:color w:val="000000"/>
                <w:sz w:val="20"/>
                <w:szCs w:val="20"/>
              </w:rPr>
              <w:t xml:space="preserve"> (50,4 tūkst. Eur)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279E2" w14:textId="2459E34D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-0,0</w:t>
            </w:r>
            <w:r w:rsidR="00A2734A">
              <w:rPr>
                <w:rFonts w:eastAsia="Times New Roman"/>
                <w:color w:val="000000"/>
                <w:sz w:val="20"/>
                <w:szCs w:val="20"/>
              </w:rPr>
              <w:t>311</w:t>
            </w:r>
          </w:p>
        </w:tc>
      </w:tr>
      <w:tr w:rsidR="0017395B" w:rsidRPr="00B0179A" w14:paraId="3F47F1F4" w14:textId="77777777" w:rsidTr="0012316E">
        <w:trPr>
          <w:trHeight w:val="276"/>
          <w:jc w:val="right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B690B" w14:textId="77777777" w:rsidR="0017395B" w:rsidRPr="00B0179A" w:rsidRDefault="0017395B" w:rsidP="0017395B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8B5D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2362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5413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1ED6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5B775505" w14:textId="77777777" w:rsidTr="0012316E">
        <w:trPr>
          <w:trHeight w:val="276"/>
          <w:jc w:val="right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E68C" w14:textId="548EFF8F" w:rsidR="0017395B" w:rsidRPr="00B0179A" w:rsidRDefault="00A2734A" w:rsidP="0017395B">
            <w:pPr>
              <w:rPr>
                <w:rFonts w:eastAsia="Calibri"/>
                <w:b/>
                <w:bCs/>
              </w:rPr>
            </w:pPr>
            <w:r w:rsidRPr="00A2734A">
              <w:rPr>
                <w:rFonts w:eastAsia="Times New Roman"/>
                <w:sz w:val="22"/>
                <w:szCs w:val="22"/>
                <w:lang w:eastAsia="lt-LT"/>
              </w:rPr>
              <w:t>Automatizuotas biokuro katilas Darbėnų katilinėje</w:t>
            </w:r>
            <w:r w:rsidR="00205717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r w:rsidR="00205717" w:rsidRPr="00205717">
              <w:rPr>
                <w:rFonts w:eastAsia="Times New Roman"/>
                <w:sz w:val="22"/>
                <w:szCs w:val="22"/>
                <w:lang w:eastAsia="lt-LT"/>
              </w:rPr>
              <w:t>Naujoji g. 16, Darbėn</w:t>
            </w:r>
            <w:r w:rsidR="005B01EB">
              <w:rPr>
                <w:rFonts w:eastAsia="Times New Roman"/>
                <w:sz w:val="22"/>
                <w:szCs w:val="22"/>
                <w:lang w:eastAsia="lt-LT"/>
              </w:rPr>
              <w:t>ai</w:t>
            </w:r>
            <w:r w:rsidR="00205717">
              <w:rPr>
                <w:rFonts w:eastAsia="Times New Roman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E5895" w14:textId="732652F3" w:rsidR="0017395B" w:rsidRPr="00B0179A" w:rsidRDefault="00831C49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3029" w14:textId="25736349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A2734A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95B2D" w14:textId="769B6127" w:rsidR="0017395B" w:rsidRPr="00B0179A" w:rsidRDefault="00831C49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2560">
              <w:rPr>
                <w:rFonts w:eastAsia="Times New Roman"/>
                <w:color w:val="000000"/>
                <w:sz w:val="20"/>
                <w:szCs w:val="20"/>
              </w:rPr>
              <w:t>ES fondų</w:t>
            </w:r>
            <w:r w:rsidR="0012316E">
              <w:rPr>
                <w:rFonts w:eastAsia="Times New Roman"/>
                <w:color w:val="000000"/>
                <w:sz w:val="20"/>
                <w:szCs w:val="20"/>
              </w:rPr>
              <w:t xml:space="preserve"> (110,9 tūkst. Eur)</w:t>
            </w:r>
            <w:r w:rsidRPr="00F22560">
              <w:rPr>
                <w:rFonts w:eastAsia="Times New Roman"/>
                <w:color w:val="000000"/>
                <w:sz w:val="20"/>
                <w:szCs w:val="20"/>
              </w:rPr>
              <w:t xml:space="preserve"> ir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skolint</w:t>
            </w:r>
            <w:r w:rsidRPr="00F22560">
              <w:rPr>
                <w:rFonts w:eastAsia="Times New Roman"/>
                <w:color w:val="000000"/>
                <w:sz w:val="20"/>
                <w:szCs w:val="20"/>
              </w:rPr>
              <w:t>os lėšos</w:t>
            </w:r>
            <w:r w:rsidR="0012316E">
              <w:rPr>
                <w:rFonts w:eastAsia="Times New Roman"/>
                <w:color w:val="000000"/>
                <w:sz w:val="20"/>
                <w:szCs w:val="20"/>
              </w:rPr>
              <w:t xml:space="preserve"> (135,6 tūkst. Eur)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B5B9" w14:textId="0BABBD40" w:rsidR="0017395B" w:rsidRPr="00B0179A" w:rsidRDefault="00A2734A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+</w:t>
            </w:r>
            <w:r w:rsidR="0017395B">
              <w:rPr>
                <w:rFonts w:eastAsia="Times New Roman"/>
                <w:color w:val="000000"/>
                <w:sz w:val="20"/>
                <w:szCs w:val="20"/>
              </w:rPr>
              <w:t>0,0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326</w:t>
            </w:r>
          </w:p>
        </w:tc>
      </w:tr>
      <w:tr w:rsidR="0017395B" w:rsidRPr="00B0179A" w14:paraId="090DBF6E" w14:textId="77777777" w:rsidTr="0012316E">
        <w:trPr>
          <w:trHeight w:val="276"/>
          <w:jc w:val="right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5805A" w14:textId="77777777" w:rsidR="0017395B" w:rsidRPr="00F22560" w:rsidRDefault="0017395B" w:rsidP="0017395B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9C6E0" w14:textId="77777777" w:rsidR="0017395B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5278" w14:textId="77777777" w:rsidR="0017395B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B04B" w14:textId="77777777" w:rsidR="0017395B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F9E7" w14:textId="77777777" w:rsidR="0017395B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174CA9BF" w14:textId="77777777" w:rsidTr="0012316E">
        <w:trPr>
          <w:trHeight w:val="230"/>
          <w:jc w:val="right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8E63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6B59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6E0B7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7ACD7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E7E37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5DEC46CF" w14:textId="77777777" w:rsidTr="0012316E">
        <w:trPr>
          <w:trHeight w:val="230"/>
          <w:jc w:val="right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8CCD7" w14:textId="758237BE" w:rsidR="0017395B" w:rsidRPr="00B0179A" w:rsidRDefault="00A2734A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A2734A">
              <w:rPr>
                <w:rFonts w:eastAsia="Times New Roman"/>
                <w:sz w:val="22"/>
                <w:szCs w:val="22"/>
                <w:lang w:eastAsia="lt-LT"/>
              </w:rPr>
              <w:t>Automatizuotas biokuro katilas Kartenos katilinėje (Mokyklos g.16, Kartena)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46C0" w14:textId="5688D3C0" w:rsidR="0017395B" w:rsidRPr="00B0179A" w:rsidRDefault="0012316E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E3EF" w14:textId="6D0F1340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A2734A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F36E" w14:textId="5F9A35AE" w:rsidR="0017395B" w:rsidRPr="00B0179A" w:rsidRDefault="00831C49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2560">
              <w:rPr>
                <w:rFonts w:eastAsia="Times New Roman"/>
                <w:color w:val="000000"/>
                <w:sz w:val="20"/>
                <w:szCs w:val="20"/>
              </w:rPr>
              <w:t>ES fondų</w:t>
            </w:r>
            <w:r w:rsidR="0012316E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 w:rsidR="009D4486">
              <w:rPr>
                <w:rFonts w:eastAsia="Times New Roman"/>
                <w:color w:val="000000"/>
                <w:sz w:val="20"/>
                <w:szCs w:val="20"/>
              </w:rPr>
              <w:t>100,0 tūkst. Eur)</w:t>
            </w:r>
            <w:r w:rsidRPr="00F22560">
              <w:rPr>
                <w:rFonts w:eastAsia="Times New Roman"/>
                <w:color w:val="000000"/>
                <w:sz w:val="20"/>
                <w:szCs w:val="20"/>
              </w:rPr>
              <w:t xml:space="preserve"> ir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skolint</w:t>
            </w:r>
            <w:r w:rsidRPr="00F22560">
              <w:rPr>
                <w:rFonts w:eastAsia="Times New Roman"/>
                <w:color w:val="000000"/>
                <w:sz w:val="20"/>
                <w:szCs w:val="20"/>
              </w:rPr>
              <w:t>os lėšos</w:t>
            </w:r>
            <w:r w:rsidR="009D4486">
              <w:rPr>
                <w:rFonts w:eastAsia="Times New Roman"/>
                <w:color w:val="000000"/>
                <w:sz w:val="20"/>
                <w:szCs w:val="20"/>
              </w:rPr>
              <w:t xml:space="preserve"> (122,2 tūkst. Eur)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B839" w14:textId="6471446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+0,0</w:t>
            </w:r>
            <w:r w:rsidR="001341E7">
              <w:rPr>
                <w:rFonts w:eastAsia="Times New Roman"/>
                <w:color w:val="000000"/>
                <w:sz w:val="20"/>
                <w:szCs w:val="20"/>
              </w:rPr>
              <w:t>256</w:t>
            </w:r>
          </w:p>
        </w:tc>
      </w:tr>
    </w:tbl>
    <w:p w14:paraId="189E6251" w14:textId="77777777" w:rsidR="00FD43C8" w:rsidRDefault="00FD43C8" w:rsidP="00FF2E76">
      <w:pPr>
        <w:ind w:firstLine="851"/>
        <w:jc w:val="both"/>
      </w:pPr>
    </w:p>
    <w:p w14:paraId="1821BD57" w14:textId="38CCE8EC" w:rsidR="00FF2E76" w:rsidRDefault="00FF2E76" w:rsidP="00FF2E76">
      <w:pPr>
        <w:ind w:firstLine="851"/>
        <w:jc w:val="both"/>
      </w:pPr>
      <w:r w:rsidRPr="00B0179A">
        <w:t xml:space="preserve">Visa išsami informacija apie </w:t>
      </w:r>
      <w:r w:rsidR="009D7A8D">
        <w:t>Bendrovės 2027 m.</w:t>
      </w:r>
      <w:r w:rsidRPr="00B0179A">
        <w:t xml:space="preserve"> investicinį planą aprašyta Bendrovės 202</w:t>
      </w:r>
      <w:r w:rsidR="001341E7">
        <w:t>6</w:t>
      </w:r>
      <w:r w:rsidRPr="00B0179A">
        <w:t xml:space="preserve"> m. </w:t>
      </w:r>
      <w:r w:rsidR="001341E7">
        <w:t>balandžio</w:t>
      </w:r>
      <w:r w:rsidRPr="00B0179A">
        <w:t xml:space="preserve"> </w:t>
      </w:r>
      <w:r w:rsidR="009C4432">
        <w:t>10</w:t>
      </w:r>
      <w:r w:rsidRPr="00B0179A">
        <w:t xml:space="preserve"> d. pateikto rašto Nr. </w:t>
      </w:r>
      <w:r w:rsidRPr="00451B2A">
        <w:t>R2-</w:t>
      </w:r>
      <w:r w:rsidR="00424DEC">
        <w:t>68</w:t>
      </w:r>
      <w:r w:rsidRPr="00451B2A">
        <w:t xml:space="preserve"> „Dėl 202</w:t>
      </w:r>
      <w:r w:rsidR="009C4432">
        <w:t>7</w:t>
      </w:r>
      <w:r w:rsidRPr="00451B2A">
        <w:t xml:space="preserve"> metų</w:t>
      </w:r>
      <w:r w:rsidR="009C4432">
        <w:t xml:space="preserve"> </w:t>
      </w:r>
      <w:r w:rsidRPr="00451B2A">
        <w:t>investicijų plano derinimo“ aiškinamajame rašte.</w:t>
      </w:r>
    </w:p>
    <w:p w14:paraId="2616076E" w14:textId="77777777" w:rsidR="00FF2E76" w:rsidRPr="00FF2E76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FF2E76">
        <w:rPr>
          <w:rFonts w:ascii="Times New Roman" w:hAnsi="Times New Roman" w:cs="Times New Roman"/>
          <w:b/>
        </w:rPr>
        <w:t>3. Kokių rezultatų laukiama.</w:t>
      </w:r>
    </w:p>
    <w:p w14:paraId="3627C11B" w14:textId="0273329F" w:rsidR="00FF2E76" w:rsidRPr="00FF2E76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FF2E76">
        <w:rPr>
          <w:rFonts w:ascii="Times New Roman" w:hAnsi="Times New Roman" w:cs="Times New Roman"/>
        </w:rPr>
        <w:t>Kretingos rajono savivaldybės tarybos suderintas UAB Kretingos šilumos tinklų 202</w:t>
      </w:r>
      <w:r w:rsidR="00B54D21">
        <w:rPr>
          <w:rFonts w:ascii="Times New Roman" w:hAnsi="Times New Roman" w:cs="Times New Roman"/>
        </w:rPr>
        <w:t>7</w:t>
      </w:r>
      <w:r w:rsidRPr="00FF2E76">
        <w:rPr>
          <w:rFonts w:ascii="Times New Roman" w:hAnsi="Times New Roman" w:cs="Times New Roman"/>
        </w:rPr>
        <w:t xml:space="preserve"> metų investicijų planas.</w:t>
      </w:r>
    </w:p>
    <w:p w14:paraId="2E2800DA" w14:textId="77777777" w:rsidR="00FF2E76" w:rsidRPr="00FF2E76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FF2E76">
        <w:rPr>
          <w:rFonts w:ascii="Times New Roman" w:hAnsi="Times New Roman" w:cs="Times New Roman"/>
          <w:b/>
        </w:rPr>
        <w:t xml:space="preserve">4. Lėšų poreikis ir šaltiniai. </w:t>
      </w:r>
    </w:p>
    <w:p w14:paraId="4FB56F14" w14:textId="7A399E87" w:rsidR="00FF2E76" w:rsidRPr="00FF2E76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FF2E76">
        <w:rPr>
          <w:bCs/>
        </w:rPr>
        <w:t>Savivaldybės b</w:t>
      </w:r>
      <w:r w:rsidRPr="00FF2E76">
        <w:t xml:space="preserve">iudžeto lėšų nereikės. </w:t>
      </w:r>
      <w:r w:rsidR="009D7A8D" w:rsidRPr="00FF2E76">
        <w:t>ES fondų lėšos</w:t>
      </w:r>
      <w:r w:rsidR="009D7A8D">
        <w:t xml:space="preserve">, </w:t>
      </w:r>
      <w:r w:rsidR="009D7A8D" w:rsidRPr="00FF2E76">
        <w:t>skolintos ir</w:t>
      </w:r>
      <w:r w:rsidR="009D7A8D">
        <w:t xml:space="preserve"> </w:t>
      </w:r>
      <w:r w:rsidRPr="00FF2E76">
        <w:t>UAB Kretingos šilumos tinklų nuosavos</w:t>
      </w:r>
      <w:r w:rsidR="009D7A8D">
        <w:t xml:space="preserve"> lėšos.</w:t>
      </w:r>
    </w:p>
    <w:p w14:paraId="7E7341D5" w14:textId="77777777" w:rsidR="00FF2E76" w:rsidRPr="00DF4893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/>
        </w:rPr>
      </w:pPr>
      <w:r w:rsidRPr="00FF2E76">
        <w:rPr>
          <w:rFonts w:ascii="Times New Roman" w:hAnsi="Times New Roman" w:cs="Times New Roman"/>
          <w:b/>
        </w:rPr>
        <w:t>5. Kiti sprendimui priimti reikalingi pagrindimai</w:t>
      </w:r>
      <w:r w:rsidRPr="00DF4893">
        <w:rPr>
          <w:rFonts w:ascii="Times New Roman" w:hAnsi="Times New Roman"/>
          <w:b/>
        </w:rPr>
        <w:t>, skaičiavimai ar paaiškinimai.</w:t>
      </w:r>
    </w:p>
    <w:p w14:paraId="3A8F57C5" w14:textId="2E3F2D71" w:rsidR="00FF2E76" w:rsidRPr="00FF2E76" w:rsidRDefault="00FF2E76" w:rsidP="00FF2E76">
      <w:pPr>
        <w:ind w:firstLine="851"/>
        <w:jc w:val="both"/>
      </w:pPr>
      <w:r w:rsidRPr="00B0179A">
        <w:t>Vadovaujantis Šilumos tiekėjų, nepriklausomų šilumos gamintojų, geriamojo vandens tiekėjų ir nuotekų tvarkytojų, paviršinių nuotekų tvarkytojų investicijų vertinimo ir derinimo Valstybinėje energetikos reguliavimo taryboje tvarkos aprašo</w:t>
      </w:r>
      <w:r>
        <w:t>, patvirtinto</w:t>
      </w:r>
      <w:r w:rsidRPr="00587F56">
        <w:t xml:space="preserve"> </w:t>
      </w:r>
      <w:r w:rsidRPr="00B0179A">
        <w:t>Valstybinės energetikos reguliavimo tarybos 2019 m. balandžio 1 d. nutarimu Nr. O3E-93 „</w:t>
      </w:r>
      <w:r w:rsidRPr="00B0179A">
        <w:rPr>
          <w:color w:val="000000"/>
        </w:rPr>
        <w:t>Dėl Šilumos tiekėjų, nepriklausomų šilumos gamintojų, geriamojo vandens tiekėjų ir nuotekų tvarkytojų, paviršinių nuotekų tvarkytojų investicijų vertinimo ir derinimo valstybinėje energetikos reguliavimo taryboje tvarkos aprašo patvirtinimo</w:t>
      </w:r>
      <w:r>
        <w:rPr>
          <w:color w:val="000000"/>
        </w:rPr>
        <w:t>“,</w:t>
      </w:r>
      <w:r w:rsidRPr="00B0179A">
        <w:t xml:space="preserve"> 7.7</w:t>
      </w:r>
      <w:r w:rsidRPr="00587F56">
        <w:rPr>
          <w:vertAlign w:val="superscript"/>
        </w:rPr>
        <w:t>1</w:t>
      </w:r>
      <w:r w:rsidRPr="00B0179A">
        <w:t xml:space="preserve"> punktu, Kretingos rajono savivaldybės tarybos suderintą</w:t>
      </w:r>
      <w:r>
        <w:t xml:space="preserve"> </w:t>
      </w:r>
      <w:r w:rsidRPr="00FF2E76">
        <w:t>202</w:t>
      </w:r>
      <w:r w:rsidR="00B54D21">
        <w:t>7</w:t>
      </w:r>
      <w:r w:rsidRPr="00FF2E76">
        <w:t xml:space="preserve"> metų investicijų planą Bendrovė privalo pateikti </w:t>
      </w:r>
      <w:r w:rsidR="009D7A8D">
        <w:t>VERT</w:t>
      </w:r>
      <w:r w:rsidRPr="00FF2E76">
        <w:t>.</w:t>
      </w:r>
      <w:r w:rsidR="00CC6ACE">
        <w:t xml:space="preserve"> </w:t>
      </w:r>
      <w:r w:rsidR="00CC6ACE" w:rsidRPr="00CC6ACE">
        <w:t>Savivaldybės institucijai atsisakius derinti šilumos tiekėjo investicijas</w:t>
      </w:r>
      <w:r w:rsidR="00CC6ACE">
        <w:t>,</w:t>
      </w:r>
      <w:r w:rsidR="00CC6ACE" w:rsidRPr="00CC6ACE">
        <w:t xml:space="preserve"> </w:t>
      </w:r>
      <w:r w:rsidR="00CC6ACE">
        <w:t>VERT</w:t>
      </w:r>
      <w:r w:rsidR="00CC6ACE" w:rsidRPr="00CC6ACE">
        <w:t xml:space="preserve"> turi būti pateiktas atsisakymo derinti investicijas pagrindimas</w:t>
      </w:r>
      <w:r w:rsidR="00CC6ACE">
        <w:t>.</w:t>
      </w:r>
    </w:p>
    <w:p w14:paraId="00BB115F" w14:textId="77777777" w:rsidR="00FF2E76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  <w:rPr>
          <w:b/>
        </w:rPr>
      </w:pPr>
      <w:r>
        <w:rPr>
          <w:b/>
        </w:rPr>
        <w:t>6</w:t>
      </w:r>
      <w:r w:rsidRPr="003013A1">
        <w:rPr>
          <w:b/>
        </w:rPr>
        <w:t>.</w:t>
      </w:r>
      <w:r w:rsidRPr="00C43D07">
        <w:rPr>
          <w:b/>
          <w:bCs/>
        </w:rP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23960AEF" w14:textId="77777777" w:rsidR="00FF2E76" w:rsidRPr="00B0179A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B0179A">
        <w:t>Teisės aktų projektų antikorupcinio vertinimo taisyklėse antikorupcinis vertinimas nenumatytas.</w:t>
      </w:r>
    </w:p>
    <w:p w14:paraId="4E2E26C0" w14:textId="77777777" w:rsidR="00FF2E76" w:rsidRPr="00B0179A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B0179A">
        <w:rPr>
          <w:b/>
        </w:rPr>
        <w:t>8. Autorius ar autorių grupės</w:t>
      </w:r>
      <w:r w:rsidRPr="00B0179A">
        <w:t xml:space="preserve">. </w:t>
      </w:r>
    </w:p>
    <w:p w14:paraId="5B91745E" w14:textId="77777777" w:rsidR="00FF2E76" w:rsidRPr="00B0179A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B0179A">
        <w:t xml:space="preserve">Vietinio ūkio ir turto valdymo skyriaus </w:t>
      </w:r>
      <w:r>
        <w:t>patarėja</w:t>
      </w:r>
      <w:r w:rsidRPr="00B0179A">
        <w:t xml:space="preserve"> Renata Ambrazevičienė.</w:t>
      </w:r>
    </w:p>
    <w:sectPr w:rsidR="00FF2E76" w:rsidRPr="00B0179A" w:rsidSect="0017395B">
      <w:headerReference w:type="default" r:id="rId10"/>
      <w:pgSz w:w="11906" w:h="16838"/>
      <w:pgMar w:top="1077" w:right="567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F332" w14:textId="77777777" w:rsidR="00A173BF" w:rsidRDefault="00A173BF" w:rsidP="00FF2E76">
      <w:r>
        <w:separator/>
      </w:r>
    </w:p>
  </w:endnote>
  <w:endnote w:type="continuationSeparator" w:id="0">
    <w:p w14:paraId="25488857" w14:textId="77777777" w:rsidR="00A173BF" w:rsidRDefault="00A173BF" w:rsidP="00F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E84E" w14:textId="77777777" w:rsidR="00A173BF" w:rsidRDefault="00A173BF" w:rsidP="00FF2E76">
      <w:r>
        <w:separator/>
      </w:r>
    </w:p>
  </w:footnote>
  <w:footnote w:type="continuationSeparator" w:id="0">
    <w:p w14:paraId="2BA63865" w14:textId="77777777" w:rsidR="00A173BF" w:rsidRDefault="00A173BF" w:rsidP="00FF2E76">
      <w:r>
        <w:continuationSeparator/>
      </w:r>
    </w:p>
  </w:footnote>
  <w:footnote w:id="1">
    <w:p w14:paraId="2DC8B5AC" w14:textId="7D8B681E" w:rsidR="00831C49" w:rsidRPr="00F00D06" w:rsidRDefault="00831C49" w:rsidP="00F00D06">
      <w:pPr>
        <w:ind w:firstLine="567"/>
        <w:jc w:val="both"/>
        <w:rPr>
          <w:sz w:val="18"/>
          <w:szCs w:val="18"/>
        </w:rPr>
      </w:pPr>
      <w:r w:rsidRPr="00F00D06">
        <w:rPr>
          <w:rStyle w:val="Puslapioinaosnuoroda"/>
        </w:rPr>
        <w:footnoteRef/>
      </w:r>
      <w:r w:rsidRPr="00F00D06">
        <w:t xml:space="preserve"> </w:t>
      </w:r>
      <w:r w:rsidR="00F00D06">
        <w:rPr>
          <w:sz w:val="18"/>
          <w:szCs w:val="18"/>
        </w:rPr>
        <w:t>n</w:t>
      </w:r>
      <w:r w:rsidR="005109FC" w:rsidRPr="00F00D06">
        <w:rPr>
          <w:sz w:val="18"/>
          <w:szCs w:val="18"/>
        </w:rPr>
        <w:t xml:space="preserve">ustatytas 2021–2030 m. Energetikos plėtros programos pažangos priemonės Nr. 03-001-06-03-05 „Įgyvendinti AEI panaudojimą šilumos ir vėsumos gamybai didinančias priemones centralizuoto šilumos ir vėsumos tiekimo sektoriuje“ aprašo, patvirtinto Lietuvos Respublikos energetikos ministro 2023 m. liepos 12 d. įsakymu Nr. 1-204 „Dėl 2021–2030 m. energetikos plėtros programos pažangos priemonės Nr. 03-001-06-03-05 „Įgyvendinti AEI panaudojimą šilumos ir vėsumos gamybai didinančias priemones centralizuoto šilumos ir vėsumos tiekimo sektoriuje“ aprašo patvirtinimo“, 3 priedo </w:t>
      </w:r>
      <w:r w:rsidR="00F00D06" w:rsidRPr="00F00D06">
        <w:rPr>
          <w:bCs/>
          <w:sz w:val="18"/>
          <w:szCs w:val="18"/>
        </w:rPr>
        <w:t>2.12.4. punkte.</w:t>
      </w:r>
    </w:p>
  </w:footnote>
  <w:footnote w:id="2">
    <w:p w14:paraId="1CD64A3D" w14:textId="35599AA7" w:rsidR="00A0727C" w:rsidRDefault="00A0727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FD43C8" w:rsidRPr="00FD43C8">
        <w:rPr>
          <w:rFonts w:ascii="Times New Roman" w:eastAsia="Lucida Sans Unicode" w:hAnsi="Times New Roman" w:cs="Times New Roman"/>
          <w:sz w:val="18"/>
          <w:szCs w:val="18"/>
          <w:lang w:eastAsia="ar-SA"/>
        </w:rPr>
        <w:t>Kretingos rajono savivaldybės tarybos 2024 m. rugsėjo 26 d. sprendimu Nr. T2-341 „Dėl UAB Kretingos šilumos tinklų 2025–2026 metų investicijų plano derinimo“</w:t>
      </w:r>
    </w:p>
  </w:footnote>
  <w:footnote w:id="3">
    <w:p w14:paraId="066B3724" w14:textId="09D4DB98" w:rsidR="00F00D06" w:rsidRDefault="00F00D06" w:rsidP="00F00D0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D2534D">
        <w:rPr>
          <w:rFonts w:ascii="Times New Roman" w:hAnsi="Times New Roman" w:cs="Times New Roman"/>
          <w:sz w:val="18"/>
          <w:szCs w:val="18"/>
        </w:rPr>
        <w:t>https://www.kresiti.lt/planuojamos-investicijos/</w:t>
      </w:r>
    </w:p>
  </w:footnote>
  <w:footnote w:id="4">
    <w:p w14:paraId="32AC58A9" w14:textId="71A0D7F1" w:rsidR="00CC6ACE" w:rsidRDefault="00CC6AC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CC6ACE">
        <w:rPr>
          <w:rFonts w:ascii="Times New Roman" w:hAnsi="Times New Roman" w:cs="Times New Roman"/>
          <w:sz w:val="18"/>
          <w:szCs w:val="18"/>
        </w:rPr>
        <w:t>patvirtintu Kretingos rajono savivaldybės tarybos 2024 m. vasario 29 d. sprendimu Nr. T2-55 „Dėl UAB Kretingos šilumos tinklų šilumos ūkio plėtros investicijų plano patvirtinimo“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789560"/>
      <w:docPartObj>
        <w:docPartGallery w:val="Page Numbers (Top of Page)"/>
        <w:docPartUnique/>
      </w:docPartObj>
    </w:sdtPr>
    <w:sdtEndPr/>
    <w:sdtContent>
      <w:p w14:paraId="0C653C30" w14:textId="23A7C00F" w:rsidR="00FF2E76" w:rsidRDefault="00FF2E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C481F3" w14:textId="77777777" w:rsidR="00FF2E76" w:rsidRDefault="00FF2E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6705"/>
    <w:multiLevelType w:val="multilevel"/>
    <w:tmpl w:val="D93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BB1383"/>
    <w:multiLevelType w:val="multilevel"/>
    <w:tmpl w:val="6CDC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052788">
    <w:abstractNumId w:val="1"/>
  </w:num>
  <w:num w:numId="2" w16cid:durableId="158106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76"/>
    <w:rsid w:val="0012316E"/>
    <w:rsid w:val="001341E7"/>
    <w:rsid w:val="0017395B"/>
    <w:rsid w:val="00205717"/>
    <w:rsid w:val="00342D4A"/>
    <w:rsid w:val="004233FE"/>
    <w:rsid w:val="00424DEC"/>
    <w:rsid w:val="004306BC"/>
    <w:rsid w:val="00451B2A"/>
    <w:rsid w:val="004C7613"/>
    <w:rsid w:val="005109FC"/>
    <w:rsid w:val="005128CE"/>
    <w:rsid w:val="005B01EB"/>
    <w:rsid w:val="005F3C30"/>
    <w:rsid w:val="00617CE4"/>
    <w:rsid w:val="00723A02"/>
    <w:rsid w:val="007C1B62"/>
    <w:rsid w:val="00831C49"/>
    <w:rsid w:val="009C4432"/>
    <w:rsid w:val="009D4486"/>
    <w:rsid w:val="009D7A8D"/>
    <w:rsid w:val="00A0727C"/>
    <w:rsid w:val="00A173BF"/>
    <w:rsid w:val="00A2734A"/>
    <w:rsid w:val="00A67B7A"/>
    <w:rsid w:val="00A739CD"/>
    <w:rsid w:val="00AC3DBC"/>
    <w:rsid w:val="00B54D21"/>
    <w:rsid w:val="00B63693"/>
    <w:rsid w:val="00C7223D"/>
    <w:rsid w:val="00CC6ACE"/>
    <w:rsid w:val="00D50812"/>
    <w:rsid w:val="00DD5191"/>
    <w:rsid w:val="00E31AB0"/>
    <w:rsid w:val="00E37D2D"/>
    <w:rsid w:val="00F00D06"/>
    <w:rsid w:val="00F92F87"/>
    <w:rsid w:val="00FD43C8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33B0"/>
  <w15:chartTrackingRefBased/>
  <w15:docId w15:val="{F6FDFCF9-F884-445B-9FE5-F5B8B31B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2E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2E7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2E7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F2E7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2E7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2E7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2E7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2E7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2E7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2E7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F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2E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2E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2E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2E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2E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2E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2E7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2E7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2E7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2E76"/>
    <w:rPr>
      <w:i/>
      <w:iCs/>
      <w:color w:val="404040" w:themeColor="text1" w:themeTint="BF"/>
    </w:rPr>
  </w:style>
  <w:style w:type="paragraph" w:styleId="Sraopastraipa">
    <w:name w:val="List Paragraph"/>
    <w:aliases w:val="SĄRAŠAS,List Paragraph Red,Bullet EY,Sarasas,lenteles,Buletai,List Paragr1,List Paragraph1,ERP-List Paragraph,List Paragraph11,Sąrašo pastraipa1,Table of contents numbered,List Paragraph21,Numbering,List Paragraph2,Paragraph,lp1"/>
    <w:basedOn w:val="prastasis"/>
    <w:link w:val="SraopastraipaDiagrama"/>
    <w:uiPriority w:val="34"/>
    <w:qFormat/>
    <w:rsid w:val="00FF2E7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F2E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2E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2E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2E7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FF2E76"/>
    <w:rPr>
      <w:color w:val="0000FF"/>
      <w:u w:val="single"/>
    </w:rPr>
  </w:style>
  <w:style w:type="character" w:customStyle="1" w:styleId="SraopastraipaDiagrama">
    <w:name w:val="Sąrašo pastraipa Diagrama"/>
    <w:aliases w:val="SĄRAŠAS Diagrama,List Paragraph Red Diagrama,Bullet EY Diagrama,Sarasas Diagrama,lenteles Diagrama,Buletai Diagrama,List Paragr1 Diagrama,List Paragraph1 Diagrama,ERP-List Paragraph Diagrama,List Paragraph11 Diagrama"/>
    <w:link w:val="Sraopastraipa"/>
    <w:uiPriority w:val="34"/>
    <w:qFormat/>
    <w:locked/>
    <w:rsid w:val="00FF2E76"/>
  </w:style>
  <w:style w:type="paragraph" w:styleId="Antrats">
    <w:name w:val="header"/>
    <w:basedOn w:val="prastasis"/>
    <w:link w:val="AntratsDiagrama"/>
    <w:uiPriority w:val="99"/>
    <w:unhideWhenUsed/>
    <w:rsid w:val="00FF2E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2E76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F2E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2E76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uslapioinaostekstas">
    <w:name w:val="footnote text"/>
    <w:aliases w:val="Diagrama,Footnote,Footnote Text Char Char,Fußnotentextf,Footnote Diagrama,Footnote text,Footnote Text Char Char Char,Footnote Text1,Char Char,Footnote Text2,Footnote Text11,ALTS FOOTNOTE11,ALTS FOOTNOTE2,Footnote Text Blue,fn"/>
    <w:basedOn w:val="prastasis"/>
    <w:link w:val="PuslapioinaostekstasDiagrama"/>
    <w:uiPriority w:val="99"/>
    <w:unhideWhenUsed/>
    <w:qFormat/>
    <w:rsid w:val="00B63693"/>
    <w:pPr>
      <w:widowControl/>
      <w:suppressAutoHyphens w:val="0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PuslapioinaostekstasDiagrama">
    <w:name w:val="Puslapio išnašos tekstas Diagrama"/>
    <w:aliases w:val="Diagrama Diagrama,Footnote Diagrama1,Footnote Text Char Char Diagrama,Fußnotentextf Diagrama,Footnote Diagrama Diagrama,Footnote text Diagrama,Footnote Text Char Char Char Diagrama,Footnote Text1 Diagrama,fn Diagrama"/>
    <w:basedOn w:val="Numatytasispastraiposriftas"/>
    <w:link w:val="Puslapioinaostekstas"/>
    <w:uiPriority w:val="99"/>
    <w:rsid w:val="00B63693"/>
    <w:rPr>
      <w:rFonts w:ascii="Arial" w:hAnsi="Arial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link w:val="SUPERSChar"/>
    <w:uiPriority w:val="99"/>
    <w:unhideWhenUsed/>
    <w:qFormat/>
    <w:rsid w:val="00B63693"/>
    <w:rPr>
      <w:vertAlign w:val="superscript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B63693"/>
    <w:pPr>
      <w:widowControl/>
      <w:suppressAutoHyphens w:val="0"/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78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OL('78701','15'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8F93-7B26-4B3E-AC66-8A01D545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3959</Words>
  <Characters>2257</Characters>
  <Application>Microsoft Office Word</Application>
  <DocSecurity>0</DocSecurity>
  <Lines>18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Renata Ambrazevičienė</cp:lastModifiedBy>
  <cp:revision>7</cp:revision>
  <dcterms:created xsi:type="dcterms:W3CDTF">2026-04-09T11:56:00Z</dcterms:created>
  <dcterms:modified xsi:type="dcterms:W3CDTF">2026-04-10T12:11:00Z</dcterms:modified>
</cp:coreProperties>
</file>