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C98C" w14:textId="7B61D6F8" w:rsidR="00B11F2A" w:rsidRPr="00B11F2A" w:rsidRDefault="00B11F2A" w:rsidP="00B11F2A">
      <w:pPr>
        <w:suppressAutoHyphens/>
        <w:jc w:val="center"/>
        <w:rPr>
          <w:b/>
          <w:lang w:eastAsia="ar-SA"/>
        </w:rPr>
      </w:pPr>
      <w:r w:rsidRPr="00B11F2A">
        <w:rPr>
          <w:b/>
          <w:lang w:eastAsia="ar-SA"/>
        </w:rPr>
        <w:t xml:space="preserve">AIŠKINAMASIS RAŠTAS </w:t>
      </w:r>
    </w:p>
    <w:p w14:paraId="4D0DD5D0" w14:textId="66A71D6A" w:rsidR="001B4992" w:rsidRPr="001B4992" w:rsidRDefault="00B11F2A" w:rsidP="00750FD0">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750FD0">
        <w:rPr>
          <w:b/>
          <w:bCs/>
          <w:shd w:val="clear" w:color="auto" w:fill="FFFFFF"/>
        </w:rPr>
        <w:t>DĖL KRETINGOS RAJONO SAVIVALDYBĖS 202</w:t>
      </w:r>
      <w:r w:rsidR="00F347EA">
        <w:rPr>
          <w:b/>
          <w:bCs/>
          <w:shd w:val="clear" w:color="auto" w:fill="FFFFFF"/>
        </w:rPr>
        <w:t>6</w:t>
      </w:r>
      <w:r w:rsidR="0099318C">
        <w:rPr>
          <w:b/>
          <w:bCs/>
          <w:shd w:val="clear" w:color="auto" w:fill="FFFFFF"/>
        </w:rPr>
        <w:t>–</w:t>
      </w:r>
      <w:r w:rsidR="00750FD0">
        <w:rPr>
          <w:b/>
          <w:bCs/>
          <w:shd w:val="clear" w:color="auto" w:fill="FFFFFF"/>
        </w:rPr>
        <w:t>202</w:t>
      </w:r>
      <w:r w:rsidR="00F347EA">
        <w:rPr>
          <w:b/>
          <w:bCs/>
          <w:shd w:val="clear" w:color="auto" w:fill="FFFFFF"/>
        </w:rPr>
        <w:t>8</w:t>
      </w:r>
      <w:r w:rsidR="00750FD0">
        <w:rPr>
          <w:b/>
          <w:bCs/>
          <w:shd w:val="clear" w:color="auto" w:fill="FFFFFF"/>
        </w:rPr>
        <w:t xml:space="preserve"> METŲ BIUDŽETO PATVIRTINIMO</w:t>
      </w:r>
      <w:r w:rsidR="00DF5C7F">
        <w:rPr>
          <w:b/>
          <w:bCs/>
          <w:shd w:val="clear" w:color="auto" w:fill="FFFFFF"/>
        </w:rPr>
        <w:t>“</w:t>
      </w:r>
    </w:p>
    <w:p w14:paraId="2798C612" w14:textId="6F584250" w:rsidR="00B11F2A" w:rsidRPr="00B11F2A" w:rsidRDefault="00B11F2A" w:rsidP="00073523">
      <w:pPr>
        <w:rPr>
          <w:b/>
          <w:lang w:eastAsia="ar-SA"/>
        </w:rPr>
      </w:pPr>
    </w:p>
    <w:p w14:paraId="550D4210" w14:textId="7943FF51" w:rsidR="00B11F2A" w:rsidRPr="005421E8" w:rsidRDefault="00B11F2A" w:rsidP="00B11F2A">
      <w:pPr>
        <w:suppressAutoHyphens/>
        <w:jc w:val="center"/>
        <w:rPr>
          <w:lang w:eastAsia="ar-SA"/>
        </w:rPr>
      </w:pPr>
      <w:r w:rsidRPr="00B11F2A">
        <w:rPr>
          <w:lang w:eastAsia="ar-SA"/>
        </w:rPr>
        <w:t>20</w:t>
      </w:r>
      <w:r w:rsidR="00B43C3D">
        <w:rPr>
          <w:lang w:eastAsia="ar-SA"/>
        </w:rPr>
        <w:t>2</w:t>
      </w:r>
      <w:r w:rsidR="00F347EA">
        <w:rPr>
          <w:lang w:eastAsia="ar-SA"/>
        </w:rPr>
        <w:t>6</w:t>
      </w:r>
      <w:r w:rsidRPr="00B11F2A">
        <w:rPr>
          <w:lang w:eastAsia="ar-SA"/>
        </w:rPr>
        <w:t xml:space="preserve"> m. </w:t>
      </w:r>
      <w:r w:rsidR="00F347EA">
        <w:rPr>
          <w:lang w:eastAsia="ar-SA"/>
        </w:rPr>
        <w:t>sausio</w:t>
      </w:r>
      <w:r w:rsidR="00DF5C7F">
        <w:rPr>
          <w:lang w:eastAsia="ar-SA"/>
        </w:rPr>
        <w:t xml:space="preserve"> </w:t>
      </w:r>
      <w:r w:rsidR="00F347EA">
        <w:rPr>
          <w:lang w:eastAsia="ar-SA"/>
        </w:rPr>
        <w:t>21</w:t>
      </w:r>
      <w:r w:rsidRPr="005421E8">
        <w:rPr>
          <w:lang w:eastAsia="ar-SA"/>
        </w:rPr>
        <w:t xml:space="preserve"> d.</w:t>
      </w:r>
    </w:p>
    <w:p w14:paraId="78AC3EF8" w14:textId="77777777" w:rsidR="00B11F2A" w:rsidRPr="005421E8" w:rsidRDefault="00B11F2A" w:rsidP="00AA6B04">
      <w:pPr>
        <w:keepNext/>
        <w:tabs>
          <w:tab w:val="num" w:pos="0"/>
        </w:tabs>
        <w:suppressAutoHyphens/>
        <w:jc w:val="center"/>
        <w:outlineLvl w:val="0"/>
        <w:rPr>
          <w:bCs/>
          <w:szCs w:val="20"/>
          <w:lang w:eastAsia="ar-SA"/>
        </w:rPr>
      </w:pPr>
      <w:r w:rsidRPr="005421E8">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17ED77C9" w:rsidR="00B11F2A" w:rsidRPr="00B11F2A" w:rsidRDefault="00B11F2A" w:rsidP="00BE197B">
      <w:pPr>
        <w:suppressAutoHyphens/>
        <w:ind w:right="-1" w:firstLine="851"/>
        <w:jc w:val="both"/>
        <w:rPr>
          <w:b/>
          <w:lang w:eastAsia="ar-SA"/>
        </w:rPr>
      </w:pPr>
      <w:r w:rsidRPr="00B11F2A">
        <w:rPr>
          <w:b/>
          <w:lang w:eastAsia="ar-SA"/>
        </w:rPr>
        <w:t>1. Parengto sprendimo projekto tikslai ir uždaviniai</w:t>
      </w:r>
      <w:r w:rsidR="009F0B8D">
        <w:rPr>
          <w:b/>
          <w:lang w:eastAsia="ar-SA"/>
        </w:rPr>
        <w:t>.</w:t>
      </w:r>
    </w:p>
    <w:p w14:paraId="703AB997" w14:textId="581C35F5" w:rsidR="008D22D5" w:rsidRDefault="008D22D5" w:rsidP="00BE197B">
      <w:pPr>
        <w:suppressAutoHyphens/>
        <w:ind w:right="-1" w:firstLine="851"/>
        <w:jc w:val="both"/>
        <w:rPr>
          <w:szCs w:val="20"/>
          <w:lang w:eastAsia="ar-SA"/>
        </w:rPr>
      </w:pPr>
      <w:r w:rsidRPr="008D22D5">
        <w:rPr>
          <w:szCs w:val="20"/>
          <w:lang w:eastAsia="ar-SA"/>
        </w:rPr>
        <w:t xml:space="preserve">Šiuo sprendimo projektu siūloma </w:t>
      </w:r>
      <w:r w:rsidR="001B1090">
        <w:rPr>
          <w:szCs w:val="20"/>
          <w:lang w:eastAsia="ar-SA"/>
        </w:rPr>
        <w:t>patvirtinti Kretingos rajono savivaldybės 202</w:t>
      </w:r>
      <w:r w:rsidR="009013D2">
        <w:rPr>
          <w:szCs w:val="20"/>
          <w:lang w:eastAsia="ar-SA"/>
        </w:rPr>
        <w:t>6</w:t>
      </w:r>
      <w:r w:rsidR="0099318C">
        <w:rPr>
          <w:szCs w:val="20"/>
          <w:lang w:eastAsia="ar-SA"/>
        </w:rPr>
        <w:t>–</w:t>
      </w:r>
      <w:r w:rsidR="009013D2">
        <w:rPr>
          <w:szCs w:val="20"/>
          <w:lang w:eastAsia="ar-SA"/>
        </w:rPr>
        <w:t>2028</w:t>
      </w:r>
      <w:r w:rsidR="001B1090">
        <w:rPr>
          <w:szCs w:val="20"/>
          <w:lang w:eastAsia="ar-SA"/>
        </w:rPr>
        <w:t xml:space="preserve"> metų biudžetą</w:t>
      </w:r>
      <w:r>
        <w:rPr>
          <w:szCs w:val="20"/>
          <w:lang w:eastAsia="ar-SA"/>
        </w:rPr>
        <w:t>.</w:t>
      </w:r>
    </w:p>
    <w:p w14:paraId="6563CD21" w14:textId="521AFBCD" w:rsidR="00B11F2A" w:rsidRDefault="002A087B" w:rsidP="00BE197B">
      <w:pPr>
        <w:suppressAutoHyphens/>
        <w:ind w:right="-1" w:firstLine="851"/>
        <w:jc w:val="both"/>
        <w:rPr>
          <w:b/>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p>
    <w:p w14:paraId="5FAA4F33" w14:textId="4D4ECD1F" w:rsidR="00FE70D0" w:rsidRPr="00A22D0A" w:rsidRDefault="00FE70D0" w:rsidP="00FE70D0">
      <w:pPr>
        <w:pStyle w:val="Betarp"/>
        <w:ind w:firstLine="851"/>
        <w:jc w:val="both"/>
      </w:pPr>
      <w:r w:rsidRPr="00A22D0A">
        <w:t>Lietuvos Respublikos vietos savivaldos įstatymo 15 straipsnio 2 dalies 12 punkt</w:t>
      </w:r>
      <w:r>
        <w:t>e</w:t>
      </w:r>
      <w:r w:rsidRPr="00A22D0A">
        <w:t xml:space="preserve"> nustatyta, kad Savivaldybės biudžetą tvirtina Savivaldybės taryba</w:t>
      </w:r>
      <w:r>
        <w:t>, 66 straipsnio 1 dalyje nurodyta, kad k</w:t>
      </w:r>
      <w:r w:rsidRPr="00FE70D0">
        <w:t>iekviena savivaldybė turi savarankišką biudžetą. Savivaldybės biudžetas sudaromas ir tvirtinamas Lietuvos Respublikos biudžeto sandaros įstatyme nustatyta tvarka</w:t>
      </w:r>
      <w:r>
        <w:t>, o pagal 66 straipsnio 3 dalį, s</w:t>
      </w:r>
      <w:r w:rsidRPr="00FE70D0">
        <w:t>avivaldybės biudžeto sudarymo pagrindas yra patvirtinti savivaldybės strateginio planavimo dokumentai, taip pat savivaldybių funkcijoms įgyvendinti reikalingų lėšų skaičiavimai.</w:t>
      </w:r>
    </w:p>
    <w:p w14:paraId="1644DA77" w14:textId="77777777" w:rsidR="00FE70D0" w:rsidRDefault="00FE70D0" w:rsidP="00FE70D0">
      <w:pPr>
        <w:pStyle w:val="Betarp"/>
        <w:ind w:firstLine="851"/>
        <w:jc w:val="both"/>
        <w:rPr>
          <w:bCs/>
        </w:rPr>
      </w:pPr>
      <w:r w:rsidRPr="006A369E">
        <w:rPr>
          <w:bCs/>
        </w:rPr>
        <w:t>Vadovaujantis Lietuvos Respublikos biudžeto sandaros įstatymo</w:t>
      </w:r>
      <w:r>
        <w:rPr>
          <w:bCs/>
        </w:rPr>
        <w:t>:</w:t>
      </w:r>
    </w:p>
    <w:p w14:paraId="792920B1" w14:textId="5F22C27A" w:rsidR="00FE70D0" w:rsidRDefault="00FE70D0" w:rsidP="00FE70D0">
      <w:pPr>
        <w:pStyle w:val="Betarp"/>
        <w:ind w:firstLine="851"/>
        <w:jc w:val="both"/>
        <w:rPr>
          <w:bCs/>
        </w:rPr>
      </w:pPr>
      <w:r w:rsidRPr="00FE70D0">
        <w:rPr>
          <w:bCs/>
        </w:rPr>
        <w:t>1.</w:t>
      </w:r>
      <w:r>
        <w:rPr>
          <w:bCs/>
        </w:rPr>
        <w:t xml:space="preserve"> 15 straipsnio 1 dalimi, </w:t>
      </w:r>
      <w:r w:rsidRPr="00C42CF1">
        <w:t>S</w:t>
      </w:r>
      <w:r w:rsidRPr="00FE70D0">
        <w:rPr>
          <w:bCs/>
        </w:rPr>
        <w:t>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kiekvienais metais nustato savivaldybės taryba, tvirtindama tam tikrų metų savivaldybės biudžetą</w:t>
      </w:r>
      <w:r w:rsidR="009013D2">
        <w:rPr>
          <w:bCs/>
        </w:rPr>
        <w:t>;</w:t>
      </w:r>
    </w:p>
    <w:p w14:paraId="23AD3C75" w14:textId="5E77B85B" w:rsidR="00FE70D0" w:rsidRDefault="00FE70D0" w:rsidP="00FE70D0">
      <w:pPr>
        <w:pStyle w:val="Betarp"/>
        <w:ind w:firstLine="851"/>
        <w:jc w:val="both"/>
        <w:rPr>
          <w:bCs/>
        </w:rPr>
      </w:pPr>
      <w:r>
        <w:rPr>
          <w:bCs/>
        </w:rPr>
        <w:t xml:space="preserve">2. </w:t>
      </w:r>
      <w:r w:rsidRPr="006A369E">
        <w:rPr>
          <w:bCs/>
        </w:rPr>
        <w:t>16 straipsnio 1 dalimi, sprendime nurodoma 202</w:t>
      </w:r>
      <w:r w:rsidR="009013D2">
        <w:rPr>
          <w:bCs/>
        </w:rPr>
        <w:t>6</w:t>
      </w:r>
      <w:r w:rsidRPr="006A369E">
        <w:rPr>
          <w:bCs/>
        </w:rPr>
        <w:t xml:space="preserve"> metų pajamų suma ir jos paskirstymas pagal pajamų rūšis, 202</w:t>
      </w:r>
      <w:r w:rsidR="009013D2">
        <w:rPr>
          <w:bCs/>
        </w:rPr>
        <w:t xml:space="preserve">6 </w:t>
      </w:r>
      <w:r w:rsidRPr="006A369E">
        <w:rPr>
          <w:bCs/>
        </w:rPr>
        <w:t>metų asignavimų suma ir jos paskirstymas biudžetinėms įstaigoms ir Savivaldybės administracijos padaliniams programoms vykdyti,</w:t>
      </w:r>
      <w:r w:rsidR="009013D2">
        <w:rPr>
          <w:bCs/>
        </w:rPr>
        <w:t xml:space="preserve"> </w:t>
      </w:r>
      <w:r w:rsidR="009013D2" w:rsidRPr="009013D2">
        <w:rPr>
          <w:bCs/>
        </w:rPr>
        <w:t>bendros antrųjų ir trečiųjų biudžetinių metų</w:t>
      </w:r>
      <w:r w:rsidR="009013D2">
        <w:rPr>
          <w:bCs/>
        </w:rPr>
        <w:t xml:space="preserve"> (2027</w:t>
      </w:r>
      <w:r w:rsidR="0099318C">
        <w:rPr>
          <w:bCs/>
        </w:rPr>
        <w:t>–</w:t>
      </w:r>
      <w:r w:rsidR="009013D2">
        <w:rPr>
          <w:bCs/>
        </w:rPr>
        <w:t>2028 m.)</w:t>
      </w:r>
      <w:r w:rsidR="009013D2" w:rsidRPr="009013D2">
        <w:rPr>
          <w:bCs/>
        </w:rPr>
        <w:t xml:space="preserve"> planuojamų pajamų</w:t>
      </w:r>
      <w:r w:rsidR="009013D2">
        <w:rPr>
          <w:bCs/>
        </w:rPr>
        <w:t xml:space="preserve"> ir asignavimų sumos,</w:t>
      </w:r>
      <w:r w:rsidRPr="006A369E">
        <w:rPr>
          <w:bCs/>
        </w:rPr>
        <w:t xml:space="preserve"> biudžetiniais metais planuojama metinė įsiskolinimų (mokėtinų sumų, išskyrus sumas paskoloms grąžinti) pokyčio suma</w:t>
      </w:r>
      <w:r w:rsidR="009013D2">
        <w:rPr>
          <w:bCs/>
        </w:rPr>
        <w:t>;</w:t>
      </w:r>
    </w:p>
    <w:p w14:paraId="056B2462" w14:textId="5E6329C5" w:rsidR="0045591B" w:rsidRPr="006A369E" w:rsidRDefault="0045591B" w:rsidP="00FE70D0">
      <w:pPr>
        <w:pStyle w:val="Betarp"/>
        <w:ind w:firstLine="851"/>
        <w:jc w:val="both"/>
        <w:rPr>
          <w:bCs/>
        </w:rPr>
      </w:pPr>
      <w:r>
        <w:rPr>
          <w:bCs/>
        </w:rPr>
        <w:t>3. 16 straipsnio 2 dalimi, s</w:t>
      </w:r>
      <w:r w:rsidRPr="0045591B">
        <w:rPr>
          <w:bCs/>
        </w:rPr>
        <w:t>avivaldybių tarybos savivaldybių biudžetus patvirtina per 2 mėnesius nuo tam tikrų metų biudžeto patvirtinimo įstatymo priėmimo dienos.</w:t>
      </w:r>
      <w:r w:rsidR="00C43E16">
        <w:rPr>
          <w:bCs/>
        </w:rPr>
        <w:t xml:space="preserve"> </w:t>
      </w:r>
      <w:r w:rsidRPr="0045591B">
        <w:rPr>
          <w:bCs/>
        </w:rPr>
        <w:t>Jeigu savivaldybės biudžetas nustatytu laiku nepatvirtinamas, lėšos iš valstybės biudžeto atitinkamai savivaldybei nepervedamos, iki savivaldybės biudžetas bus patvirtintas.</w:t>
      </w:r>
    </w:p>
    <w:p w14:paraId="47F521AE" w14:textId="0FB8EDA4" w:rsidR="00FE70D0" w:rsidRPr="006A369E" w:rsidRDefault="00FE70D0" w:rsidP="00FE70D0">
      <w:pPr>
        <w:pStyle w:val="Betarp"/>
        <w:ind w:firstLine="851"/>
        <w:jc w:val="both"/>
        <w:rPr>
          <w:spacing w:val="-1"/>
        </w:rPr>
      </w:pPr>
      <w:r>
        <w:rPr>
          <w:spacing w:val="-1"/>
        </w:rPr>
        <w:t xml:space="preserve">Lietuvos Respublikos </w:t>
      </w:r>
      <w:r w:rsidR="00C43E16">
        <w:rPr>
          <w:spacing w:val="-1"/>
        </w:rPr>
        <w:t>f</w:t>
      </w:r>
      <w:r w:rsidRPr="006A369E">
        <w:rPr>
          <w:spacing w:val="-1"/>
        </w:rPr>
        <w:t xml:space="preserve">iskalinės sutarties įgyvendinimo konstitucinio įstatymo </w:t>
      </w:r>
      <w:r w:rsidR="009013D2">
        <w:rPr>
          <w:spacing w:val="-1"/>
        </w:rPr>
        <w:t>5</w:t>
      </w:r>
      <w:r w:rsidRPr="006A369E">
        <w:rPr>
          <w:spacing w:val="-1"/>
        </w:rPr>
        <w:t xml:space="preserve"> straipsnyje nustatyti savivaldybių skolos, skolinimosi ir garantijų limitai ir keliami reikalavimai dėl įsiskolinimų suvaldymo.</w:t>
      </w:r>
    </w:p>
    <w:p w14:paraId="2219ED80" w14:textId="7B92A28B" w:rsidR="00FE70D0" w:rsidRPr="006A369E" w:rsidRDefault="00FE70D0" w:rsidP="00FE70D0">
      <w:pPr>
        <w:pStyle w:val="Betarp"/>
        <w:ind w:firstLine="851"/>
        <w:jc w:val="both"/>
      </w:pPr>
      <w:r w:rsidRPr="006A369E">
        <w:t>Lietuvos Respublikos 202</w:t>
      </w:r>
      <w:r w:rsidR="009013D2">
        <w:t>6</w:t>
      </w:r>
      <w:r>
        <w:t>–202</w:t>
      </w:r>
      <w:r w:rsidR="009013D2">
        <w:t>8</w:t>
      </w:r>
      <w:r>
        <w:t xml:space="preserve"> </w:t>
      </w:r>
      <w:r w:rsidRPr="006A369E">
        <w:t>metų biudžeto patvirtinimo įstatymo</w:t>
      </w:r>
      <w:r w:rsidR="0045591B">
        <w:t xml:space="preserve"> (toliau – Įstatymas)</w:t>
      </w:r>
      <w:r w:rsidRPr="006A369E">
        <w:t xml:space="preserve"> </w:t>
      </w:r>
      <w:r>
        <w:t>3</w:t>
      </w:r>
      <w:r w:rsidRPr="006A369E">
        <w:t xml:space="preserve"> straipsnyje patvirtinti savivaldybių finansiniai rodikliai, o 5 priede savivaldybėms numatomas finansinis rodiklis – prognozuojamos pajamos iš gyventojų pajamų mokesčio be įplaukų iš fiksuoto pajamų mokesčio už veiklas, kuriomis verčiamasi, turint verslo liudijimą.</w:t>
      </w:r>
    </w:p>
    <w:p w14:paraId="609BC63C" w14:textId="2256198B" w:rsidR="002A087B" w:rsidRDefault="002A087B" w:rsidP="00BE197B">
      <w:pPr>
        <w:pStyle w:val="Betarp"/>
        <w:ind w:firstLine="851"/>
        <w:jc w:val="both"/>
        <w:rPr>
          <w:b/>
        </w:rPr>
      </w:pPr>
      <w:r w:rsidRPr="00C36443">
        <w:rPr>
          <w:b/>
        </w:rPr>
        <w:t>3. Kokių rezultatų laukiama.</w:t>
      </w:r>
    </w:p>
    <w:p w14:paraId="670CBFD4" w14:textId="7A77BBFA" w:rsidR="00C56A28" w:rsidRPr="00DE7F8A" w:rsidRDefault="00C56A28" w:rsidP="00C56A28">
      <w:pPr>
        <w:pStyle w:val="Betarp"/>
        <w:ind w:firstLine="851"/>
        <w:jc w:val="both"/>
      </w:pPr>
      <w:r w:rsidRPr="00DE7F8A">
        <w:t>Bus užtikrintas</w:t>
      </w:r>
      <w:r w:rsidR="00C42CF1">
        <w:t xml:space="preserve"> </w:t>
      </w:r>
      <w:r w:rsidR="00E30062">
        <w:t>Kretingos rajono s</w:t>
      </w:r>
      <w:r w:rsidR="00C42CF1">
        <w:t>avivaldybės</w:t>
      </w:r>
      <w:r w:rsidR="00E30062">
        <w:t xml:space="preserve"> </w:t>
      </w:r>
      <w:r w:rsidR="00E30062" w:rsidRPr="000010E0">
        <w:t>(toliau – Savivaldybė)</w:t>
      </w:r>
      <w:r w:rsidR="00C42CF1">
        <w:t xml:space="preserve"> administracijos, Savivaldybės</w:t>
      </w:r>
      <w:r w:rsidRPr="00DE7F8A">
        <w:t xml:space="preserve"> biudžetinių įstaigų</w:t>
      </w:r>
      <w:r>
        <w:t xml:space="preserve"> ir kitų asignavimų valdytojų</w:t>
      </w:r>
      <w:r w:rsidRPr="00DE7F8A">
        <w:t xml:space="preserve"> finansavimas ir </w:t>
      </w:r>
      <w:r w:rsidR="002A1A6A">
        <w:t>Savivaldybės</w:t>
      </w:r>
      <w:r w:rsidRPr="00DE7F8A">
        <w:t xml:space="preserve"> strateginio veiklos plano 202</w:t>
      </w:r>
      <w:r w:rsidR="00071002">
        <w:t>6</w:t>
      </w:r>
      <w:r w:rsidRPr="00DE7F8A">
        <w:t xml:space="preserve"> metų programų įgyvendinimas.</w:t>
      </w:r>
    </w:p>
    <w:p w14:paraId="79C63196" w14:textId="5E3A316B" w:rsidR="00B11F2A" w:rsidRDefault="002A087B" w:rsidP="00BE197B">
      <w:pPr>
        <w:ind w:right="-1" w:firstLine="851"/>
        <w:jc w:val="both"/>
        <w:rPr>
          <w:b/>
        </w:rPr>
      </w:pPr>
      <w:r>
        <w:rPr>
          <w:b/>
        </w:rPr>
        <w:t xml:space="preserve">4. </w:t>
      </w:r>
      <w:r w:rsidRPr="00161543">
        <w:rPr>
          <w:b/>
        </w:rPr>
        <w:t>Lėšų poreikis ir šaltiniai.</w:t>
      </w:r>
    </w:p>
    <w:p w14:paraId="4AD1A889" w14:textId="74129715" w:rsidR="00E967D9" w:rsidRDefault="00E967D9" w:rsidP="00385149">
      <w:pPr>
        <w:ind w:right="-1"/>
        <w:jc w:val="center"/>
        <w:rPr>
          <w:b/>
        </w:rPr>
      </w:pPr>
      <w:r w:rsidRPr="00B114C2">
        <w:rPr>
          <w:b/>
        </w:rPr>
        <w:t>KRETINGOS RAJONO SAVIVALDYBĖS 202</w:t>
      </w:r>
      <w:r w:rsidR="00071002">
        <w:rPr>
          <w:b/>
        </w:rPr>
        <w:t>6</w:t>
      </w:r>
      <w:r w:rsidRPr="00B114C2">
        <w:rPr>
          <w:b/>
        </w:rPr>
        <w:t xml:space="preserve"> METŲ BIUDŽETO PAJAMOS</w:t>
      </w:r>
    </w:p>
    <w:p w14:paraId="58D85440" w14:textId="558ADA73" w:rsidR="00B114C2" w:rsidRPr="00827470" w:rsidRDefault="00B114C2" w:rsidP="00A076E1">
      <w:pPr>
        <w:ind w:right="-1" w:firstLine="851"/>
        <w:jc w:val="both"/>
      </w:pPr>
      <w:r w:rsidRPr="00827470">
        <w:t>Savivaldybių 202</w:t>
      </w:r>
      <w:r w:rsidR="00827470" w:rsidRPr="00827470">
        <w:t>6</w:t>
      </w:r>
      <w:r w:rsidR="00C43E16" w:rsidRPr="00827470">
        <w:t>–</w:t>
      </w:r>
      <w:r w:rsidRPr="00827470">
        <w:t>202</w:t>
      </w:r>
      <w:r w:rsidR="00827470" w:rsidRPr="00827470">
        <w:t>8</w:t>
      </w:r>
      <w:r w:rsidRPr="00827470">
        <w:t xml:space="preserve"> m. finansiniai rodikliai pavirtinti Įstatym</w:t>
      </w:r>
      <w:r w:rsidR="0045591B" w:rsidRPr="00827470">
        <w:t>e</w:t>
      </w:r>
      <w:r w:rsidRPr="00827470">
        <w:t xml:space="preserve">. Įstatymo 3 straipsnyje savivaldybėms patvirtinta gyventojų pajamų mokesčio (toliau – GPM) įplaukų dalis nuo visų GPM įplaukų į konsoliduotus valstybės ir savivaldybių biudžetus. Įstatymo 5 priede patvirtintos </w:t>
      </w:r>
      <w:r w:rsidRPr="00827470">
        <w:lastRenderedPageBreak/>
        <w:t>prognozuojamos pajamos iš GPM (be įplaukų iš fiksuoto pajamų mokesčio už veiklas, kuriomis verčiamasi, turint verslo liudijimą). 202</w:t>
      </w:r>
      <w:r w:rsidR="00827470" w:rsidRPr="00827470">
        <w:t>6</w:t>
      </w:r>
      <w:r w:rsidRPr="00827470">
        <w:t xml:space="preserve"> m. GPM suma – </w:t>
      </w:r>
      <w:r w:rsidR="00827470" w:rsidRPr="00827470">
        <w:t>46 373</w:t>
      </w:r>
      <w:r w:rsidRPr="00827470">
        <w:t xml:space="preserve"> tūkst. </w:t>
      </w:r>
      <w:r w:rsidR="00387C32" w:rsidRPr="00827470">
        <w:t>E</w:t>
      </w:r>
      <w:r w:rsidRPr="00827470">
        <w:t>ur</w:t>
      </w:r>
      <w:r w:rsidR="00387C32" w:rsidRPr="00827470">
        <w:t xml:space="preserve"> (202</w:t>
      </w:r>
      <w:r w:rsidR="00827470" w:rsidRPr="00827470">
        <w:t>5</w:t>
      </w:r>
      <w:r w:rsidR="00387C32" w:rsidRPr="00827470">
        <w:t xml:space="preserve"> m. patikslintas planas </w:t>
      </w:r>
      <w:r w:rsidR="00C43E16" w:rsidRPr="00827470">
        <w:t>–</w:t>
      </w:r>
      <w:r w:rsidR="00387C32" w:rsidRPr="00827470">
        <w:t xml:space="preserve"> </w:t>
      </w:r>
      <w:r w:rsidR="00827470" w:rsidRPr="00827470">
        <w:t>41 059</w:t>
      </w:r>
      <w:r w:rsidR="00387C32" w:rsidRPr="00827470">
        <w:t xml:space="preserve"> tūkst. Eur)</w:t>
      </w:r>
      <w:r w:rsidRPr="00827470">
        <w:t>. Prie šios sumos pridedamos planuojamos 45 tūkst. eurų įplaukos iš fiksuoto pajamų mokesčio už veiklas, kuriomis verčiamasi, turint verslo liudijimą.</w:t>
      </w:r>
    </w:p>
    <w:p w14:paraId="3C371D1A" w14:textId="03BFEB0C" w:rsidR="00A45E28" w:rsidRPr="00CB4C43" w:rsidRDefault="00387C32" w:rsidP="00A076E1">
      <w:pPr>
        <w:ind w:right="-1" w:firstLine="851"/>
        <w:jc w:val="both"/>
        <w:rPr>
          <w:snapToGrid w:val="0"/>
        </w:rPr>
      </w:pPr>
      <w:r w:rsidRPr="00CB4C43">
        <w:rPr>
          <w:bCs/>
        </w:rPr>
        <w:t xml:space="preserve">Turto mokesčių planuojama surinkti </w:t>
      </w:r>
      <w:r w:rsidR="00CB4C43" w:rsidRPr="00CB4C43">
        <w:rPr>
          <w:bCs/>
        </w:rPr>
        <w:t>2,7</w:t>
      </w:r>
      <w:r w:rsidRPr="00CB4C43">
        <w:rPr>
          <w:bCs/>
        </w:rPr>
        <w:t xml:space="preserve"> </w:t>
      </w:r>
      <w:r w:rsidR="00CB4C43" w:rsidRPr="00CB4C43">
        <w:rPr>
          <w:bCs/>
        </w:rPr>
        <w:t>mln</w:t>
      </w:r>
      <w:r w:rsidRPr="00CB4C43">
        <w:rPr>
          <w:bCs/>
        </w:rPr>
        <w:t xml:space="preserve">. Eur </w:t>
      </w:r>
      <w:r w:rsidRPr="00CB4C43">
        <w:t>(202</w:t>
      </w:r>
      <w:r w:rsidR="00CB4C43" w:rsidRPr="00CB4C43">
        <w:t>5</w:t>
      </w:r>
      <w:r w:rsidRPr="00CB4C43">
        <w:t xml:space="preserve"> m. patikslintas planas </w:t>
      </w:r>
      <w:r w:rsidR="00C43E16" w:rsidRPr="00CB4C43">
        <w:t>–</w:t>
      </w:r>
      <w:r w:rsidRPr="00CB4C43">
        <w:t xml:space="preserve"> </w:t>
      </w:r>
      <w:r w:rsidR="00CB4C43" w:rsidRPr="00CB4C43">
        <w:t>2,3</w:t>
      </w:r>
      <w:r w:rsidRPr="00CB4C43">
        <w:t xml:space="preserve"> </w:t>
      </w:r>
      <w:r w:rsidR="00CB4C43" w:rsidRPr="00CB4C43">
        <w:t>mln</w:t>
      </w:r>
      <w:r w:rsidRPr="00CB4C43">
        <w:t>. Eur)</w:t>
      </w:r>
      <w:r w:rsidR="005271F0" w:rsidRPr="00CB4C43">
        <w:t>. 202</w:t>
      </w:r>
      <w:r w:rsidR="00CB4C43" w:rsidRPr="00CB4C43">
        <w:t>6</w:t>
      </w:r>
      <w:r w:rsidR="005271F0" w:rsidRPr="00CB4C43">
        <w:t xml:space="preserve"> m. planuojam</w:t>
      </w:r>
      <w:r w:rsidR="00CB4C43" w:rsidRPr="00CB4C43">
        <w:t>a</w:t>
      </w:r>
      <w:r w:rsidR="005271F0" w:rsidRPr="00CB4C43">
        <w:t xml:space="preserve"> gauti </w:t>
      </w:r>
      <w:r w:rsidR="00CB4C43" w:rsidRPr="00CB4C43">
        <w:t>2,5</w:t>
      </w:r>
      <w:r w:rsidR="005271F0" w:rsidRPr="00CB4C43">
        <w:t xml:space="preserve"> </w:t>
      </w:r>
      <w:r w:rsidR="00CB4C43" w:rsidRPr="00CB4C43">
        <w:t>mln</w:t>
      </w:r>
      <w:r w:rsidR="005271F0" w:rsidRPr="00CB4C43">
        <w:t>. Eur biudžetinių įstaigų pajam</w:t>
      </w:r>
      <w:r w:rsidR="00CB4C43" w:rsidRPr="00CB4C43">
        <w:t>ų</w:t>
      </w:r>
      <w:r w:rsidR="005271F0" w:rsidRPr="00CB4C43">
        <w:t xml:space="preserve"> už patalpų nuomą ir teikiamas paslaugas, 1</w:t>
      </w:r>
      <w:r w:rsidR="00CB4C43" w:rsidRPr="00CB4C43">
        <w:t>7</w:t>
      </w:r>
      <w:r w:rsidR="005271F0" w:rsidRPr="00CB4C43">
        <w:t xml:space="preserve">0 tūkst. Eur </w:t>
      </w:r>
      <w:r w:rsidR="00C43E16" w:rsidRPr="00CB4C43">
        <w:t>–</w:t>
      </w:r>
      <w:r w:rsidR="005271F0" w:rsidRPr="00CB4C43">
        <w:t xml:space="preserve"> kit</w:t>
      </w:r>
      <w:r w:rsidR="00CB4C43" w:rsidRPr="00CB4C43">
        <w:t>ų</w:t>
      </w:r>
      <w:r w:rsidR="005271F0" w:rsidRPr="00CB4C43">
        <w:t xml:space="preserve"> pajam</w:t>
      </w:r>
      <w:r w:rsidR="00CB4C43" w:rsidRPr="00CB4C43">
        <w:t>ų</w:t>
      </w:r>
      <w:r w:rsidR="005271F0" w:rsidRPr="00CB4C43">
        <w:t xml:space="preserve">, </w:t>
      </w:r>
      <w:r w:rsidR="00CB4C43" w:rsidRPr="00CB4C43">
        <w:t>183</w:t>
      </w:r>
      <w:r w:rsidR="005271F0" w:rsidRPr="00CB4C43">
        <w:rPr>
          <w:b/>
          <w:bCs/>
        </w:rPr>
        <w:t xml:space="preserve"> </w:t>
      </w:r>
      <w:r w:rsidR="005271F0" w:rsidRPr="00CB4C43">
        <w:t xml:space="preserve">tūkst. Eur </w:t>
      </w:r>
      <w:r w:rsidR="005271F0" w:rsidRPr="00CB4C43">
        <w:rPr>
          <w:spacing w:val="-1"/>
        </w:rPr>
        <w:t>įmok</w:t>
      </w:r>
      <w:r w:rsidR="00CB4C43" w:rsidRPr="00CB4C43">
        <w:rPr>
          <w:spacing w:val="-1"/>
        </w:rPr>
        <w:t>ų</w:t>
      </w:r>
      <w:r w:rsidR="005271F0" w:rsidRPr="00CB4C43">
        <w:rPr>
          <w:spacing w:val="-1"/>
        </w:rPr>
        <w:t xml:space="preserve"> už ilgalaikio materialiojo ir nematerialiojo turto realizavimą, iš jų </w:t>
      </w:r>
      <w:r w:rsidR="00C43E16" w:rsidRPr="00CB4C43">
        <w:rPr>
          <w:spacing w:val="-1"/>
        </w:rPr>
        <w:t>–</w:t>
      </w:r>
      <w:r w:rsidR="005271F0" w:rsidRPr="00CB4C43">
        <w:rPr>
          <w:spacing w:val="-1"/>
        </w:rPr>
        <w:t xml:space="preserve"> </w:t>
      </w:r>
      <w:r w:rsidR="00CB4C43" w:rsidRPr="00CB4C43">
        <w:rPr>
          <w:spacing w:val="-1"/>
        </w:rPr>
        <w:t>83</w:t>
      </w:r>
      <w:r w:rsidR="005271F0" w:rsidRPr="00CB4C43">
        <w:rPr>
          <w:spacing w:val="-1"/>
        </w:rPr>
        <w:t xml:space="preserve"> tūkst. Eur už parduotą žemę.</w:t>
      </w:r>
      <w:r w:rsidR="00A45E28" w:rsidRPr="00CB4C43">
        <w:rPr>
          <w:spacing w:val="-1"/>
        </w:rPr>
        <w:t xml:space="preserve"> </w:t>
      </w:r>
      <w:r w:rsidR="005271F0" w:rsidRPr="00CB4C43">
        <w:rPr>
          <w:snapToGrid w:val="0"/>
        </w:rPr>
        <w:t>Visos 202</w:t>
      </w:r>
      <w:r w:rsidR="00CB4C43" w:rsidRPr="00CB4C43">
        <w:rPr>
          <w:snapToGrid w:val="0"/>
        </w:rPr>
        <w:t>6</w:t>
      </w:r>
      <w:r w:rsidR="005271F0" w:rsidRPr="00CB4C43">
        <w:rPr>
          <w:snapToGrid w:val="0"/>
        </w:rPr>
        <w:t xml:space="preserve"> metams prognozuojamos pajamos iš mokesčių ir turto savarankiškoms funkcijoms vykdyti sudaro </w:t>
      </w:r>
      <w:r w:rsidR="00CB4C43" w:rsidRPr="00CB4C43">
        <w:rPr>
          <w:bCs/>
          <w:snapToGrid w:val="0"/>
        </w:rPr>
        <w:t>54,5</w:t>
      </w:r>
      <w:r w:rsidR="00A45E28" w:rsidRPr="00CB4C43">
        <w:rPr>
          <w:b/>
          <w:snapToGrid w:val="0"/>
        </w:rPr>
        <w:t xml:space="preserve"> </w:t>
      </w:r>
      <w:r w:rsidR="00CB4C43" w:rsidRPr="00CB4C43">
        <w:rPr>
          <w:snapToGrid w:val="0"/>
        </w:rPr>
        <w:t>mln</w:t>
      </w:r>
      <w:r w:rsidR="005271F0" w:rsidRPr="00CB4C43">
        <w:rPr>
          <w:snapToGrid w:val="0"/>
        </w:rPr>
        <w:t xml:space="preserve">. </w:t>
      </w:r>
      <w:r w:rsidR="00BF0A20" w:rsidRPr="00CB4C43">
        <w:rPr>
          <w:snapToGrid w:val="0"/>
        </w:rPr>
        <w:t>E</w:t>
      </w:r>
      <w:r w:rsidR="005271F0" w:rsidRPr="00CB4C43">
        <w:rPr>
          <w:snapToGrid w:val="0"/>
        </w:rPr>
        <w:t>ur.</w:t>
      </w:r>
    </w:p>
    <w:p w14:paraId="11D46BB5" w14:textId="31140D9D" w:rsidR="0095263A" w:rsidRPr="00DB529D" w:rsidRDefault="0001160B" w:rsidP="00A076E1">
      <w:pPr>
        <w:pStyle w:val="Pagrindiniotekstotrauka"/>
        <w:tabs>
          <w:tab w:val="left" w:pos="1134"/>
        </w:tabs>
        <w:spacing w:after="0"/>
        <w:ind w:left="0" w:firstLine="851"/>
        <w:jc w:val="both"/>
      </w:pPr>
      <w:r w:rsidRPr="00DB529D">
        <w:t xml:space="preserve">Planuojamų dotacijų suma </w:t>
      </w:r>
      <w:r w:rsidR="00C43E16" w:rsidRPr="00DB529D">
        <w:t>–</w:t>
      </w:r>
      <w:r w:rsidRPr="00DB529D">
        <w:t xml:space="preserve"> </w:t>
      </w:r>
      <w:r w:rsidR="00BC29A9" w:rsidRPr="00DB529D">
        <w:t>39,2</w:t>
      </w:r>
      <w:r w:rsidRPr="00DB529D">
        <w:t xml:space="preserve"> </w:t>
      </w:r>
      <w:r w:rsidR="00BC29A9" w:rsidRPr="00DB529D">
        <w:t>mln</w:t>
      </w:r>
      <w:r w:rsidRPr="00DB529D">
        <w:t xml:space="preserve">. Eur, iš jų: </w:t>
      </w:r>
      <w:r w:rsidR="00BC29A9" w:rsidRPr="00DB529D">
        <w:t>5,3</w:t>
      </w:r>
      <w:r w:rsidRPr="00DB529D">
        <w:t xml:space="preserve"> </w:t>
      </w:r>
      <w:r w:rsidR="00BC29A9" w:rsidRPr="00DB529D">
        <w:t>mln</w:t>
      </w:r>
      <w:r w:rsidRPr="00DB529D">
        <w:t xml:space="preserve">. Eur valstybinėms funkcijoms vykdyti, </w:t>
      </w:r>
      <w:r w:rsidR="00BC29A9" w:rsidRPr="00DB529D">
        <w:t>24,7</w:t>
      </w:r>
      <w:r w:rsidRPr="00DB529D">
        <w:t xml:space="preserve"> </w:t>
      </w:r>
      <w:r w:rsidR="00BC29A9" w:rsidRPr="00DB529D">
        <w:t>mln</w:t>
      </w:r>
      <w:r w:rsidRPr="00DB529D">
        <w:t xml:space="preserve">. Eur ugdymo reikmėms finansuoti, </w:t>
      </w:r>
      <w:r w:rsidR="00BC29A9" w:rsidRPr="00DB529D">
        <w:t>4,6</w:t>
      </w:r>
      <w:r w:rsidRPr="00DB529D">
        <w:t xml:space="preserve"> </w:t>
      </w:r>
      <w:r w:rsidR="00BC29A9" w:rsidRPr="00DB529D">
        <w:t>mln</w:t>
      </w:r>
      <w:r w:rsidRPr="00DB529D">
        <w:t xml:space="preserve">. Eur kitos dotacijos, </w:t>
      </w:r>
      <w:r w:rsidR="00B81919" w:rsidRPr="00DB529D">
        <w:t>4,6</w:t>
      </w:r>
      <w:r w:rsidRPr="00DB529D">
        <w:t xml:space="preserve"> </w:t>
      </w:r>
      <w:r w:rsidR="00B81919" w:rsidRPr="00DB529D">
        <w:t>mln</w:t>
      </w:r>
      <w:r w:rsidRPr="00DB529D">
        <w:t>. Eur Europos Sąjungos, kitos tarptautinės finansinės paramos ir bendrojo finansavimo lėšos. Dotacijų suma, 202</w:t>
      </w:r>
      <w:r w:rsidR="00B81919" w:rsidRPr="00DB529D">
        <w:t>6</w:t>
      </w:r>
      <w:r w:rsidRPr="00DB529D">
        <w:t xml:space="preserve"> m. projektą lyginant su 202</w:t>
      </w:r>
      <w:r w:rsidR="00B81919" w:rsidRPr="00DB529D">
        <w:t>5</w:t>
      </w:r>
      <w:r w:rsidRPr="00DB529D">
        <w:t xml:space="preserve"> m. patvirtint</w:t>
      </w:r>
      <w:r w:rsidR="00B81919" w:rsidRPr="00DB529D">
        <w:t>u</w:t>
      </w:r>
      <w:r w:rsidRPr="00DB529D">
        <w:t xml:space="preserve"> planu, didėja </w:t>
      </w:r>
      <w:r w:rsidR="00DB529D" w:rsidRPr="00DB529D">
        <w:t>11,8</w:t>
      </w:r>
      <w:r w:rsidRPr="00DB529D">
        <w:t xml:space="preserve"> proc. arba </w:t>
      </w:r>
      <w:r w:rsidR="00DB529D" w:rsidRPr="00DB529D">
        <w:t>4,2</w:t>
      </w:r>
      <w:r w:rsidRPr="00DB529D">
        <w:t xml:space="preserve"> </w:t>
      </w:r>
      <w:r w:rsidR="00DB529D" w:rsidRPr="00DB529D">
        <w:t>mln</w:t>
      </w:r>
      <w:r w:rsidRPr="00DB529D">
        <w:t>. Eur.</w:t>
      </w:r>
    </w:p>
    <w:p w14:paraId="583EE399" w14:textId="61EE3841" w:rsidR="005271F0" w:rsidRPr="00DB529D" w:rsidRDefault="005271F0" w:rsidP="00A076E1">
      <w:pPr>
        <w:pStyle w:val="Pagrindiniotekstotrauka"/>
        <w:tabs>
          <w:tab w:val="left" w:pos="1134"/>
        </w:tabs>
        <w:spacing w:after="0"/>
        <w:ind w:left="0" w:firstLine="851"/>
        <w:jc w:val="both"/>
        <w:rPr>
          <w:snapToGrid w:val="0"/>
        </w:rPr>
      </w:pPr>
      <w:r w:rsidRPr="00DB529D">
        <w:rPr>
          <w:snapToGrid w:val="0"/>
        </w:rPr>
        <w:t>Kiti 202</w:t>
      </w:r>
      <w:r w:rsidR="00DB529D" w:rsidRPr="00DB529D">
        <w:rPr>
          <w:snapToGrid w:val="0"/>
        </w:rPr>
        <w:t>6</w:t>
      </w:r>
      <w:r w:rsidRPr="00DB529D">
        <w:rPr>
          <w:snapToGrid w:val="0"/>
        </w:rPr>
        <w:t xml:space="preserve"> m. finansavimo šaltiniai</w:t>
      </w:r>
      <w:r w:rsidR="00DB529D" w:rsidRPr="00DB529D">
        <w:rPr>
          <w:snapToGrid w:val="0"/>
        </w:rPr>
        <w:t xml:space="preserve"> –</w:t>
      </w:r>
      <w:r w:rsidRPr="00DB529D">
        <w:rPr>
          <w:snapToGrid w:val="0"/>
        </w:rPr>
        <w:t xml:space="preserve"> </w:t>
      </w:r>
      <w:r w:rsidR="00DB529D" w:rsidRPr="00DB529D">
        <w:rPr>
          <w:snapToGrid w:val="0"/>
        </w:rPr>
        <w:t>7,4 mln</w:t>
      </w:r>
      <w:r w:rsidR="0095263A" w:rsidRPr="00DB529D">
        <w:rPr>
          <w:snapToGrid w:val="0"/>
        </w:rPr>
        <w:t>. Eur</w:t>
      </w:r>
      <w:r w:rsidRPr="00DB529D">
        <w:rPr>
          <w:snapToGrid w:val="0"/>
        </w:rPr>
        <w:t xml:space="preserve">, iš jų: </w:t>
      </w:r>
      <w:r w:rsidR="00DB529D" w:rsidRPr="00DB529D">
        <w:rPr>
          <w:snapToGrid w:val="0"/>
        </w:rPr>
        <w:t>6,2</w:t>
      </w:r>
      <w:r w:rsidR="0095263A" w:rsidRPr="00DB529D">
        <w:rPr>
          <w:snapToGrid w:val="0"/>
        </w:rPr>
        <w:t xml:space="preserve"> </w:t>
      </w:r>
      <w:r w:rsidR="00DB529D" w:rsidRPr="00DB529D">
        <w:rPr>
          <w:snapToGrid w:val="0"/>
        </w:rPr>
        <w:t>mln</w:t>
      </w:r>
      <w:r w:rsidR="0095263A" w:rsidRPr="00DB529D">
        <w:rPr>
          <w:snapToGrid w:val="0"/>
        </w:rPr>
        <w:t>. Eur</w:t>
      </w:r>
      <w:r w:rsidRPr="00DB529D">
        <w:rPr>
          <w:snapToGrid w:val="0"/>
        </w:rPr>
        <w:t xml:space="preserve"> praėjusių metų likučiai, </w:t>
      </w:r>
      <w:r w:rsidR="00DB529D" w:rsidRPr="00DB529D">
        <w:rPr>
          <w:snapToGrid w:val="0"/>
        </w:rPr>
        <w:t>1,2 mln</w:t>
      </w:r>
      <w:r w:rsidR="0095263A" w:rsidRPr="00DB529D">
        <w:rPr>
          <w:snapToGrid w:val="0"/>
        </w:rPr>
        <w:t>. Eur</w:t>
      </w:r>
      <w:r w:rsidRPr="00DB529D">
        <w:rPr>
          <w:snapToGrid w:val="0"/>
        </w:rPr>
        <w:t xml:space="preserve"> </w:t>
      </w:r>
      <w:r w:rsidR="00C43E16" w:rsidRPr="00DB529D">
        <w:rPr>
          <w:snapToGrid w:val="0"/>
        </w:rPr>
        <w:t>–</w:t>
      </w:r>
      <w:r w:rsidRPr="00DB529D">
        <w:rPr>
          <w:snapToGrid w:val="0"/>
        </w:rPr>
        <w:t xml:space="preserve"> skolintos lėšos. </w:t>
      </w:r>
    </w:p>
    <w:p w14:paraId="1ABC0D77" w14:textId="42E5BF96" w:rsidR="002A1A6A" w:rsidRPr="00F7081C" w:rsidRDefault="002A1A6A" w:rsidP="00A076E1">
      <w:pPr>
        <w:pStyle w:val="Pagrindiniotekstotrauka"/>
        <w:tabs>
          <w:tab w:val="left" w:pos="1134"/>
        </w:tabs>
        <w:spacing w:after="0"/>
        <w:ind w:left="0" w:firstLine="851"/>
        <w:jc w:val="both"/>
        <w:rPr>
          <w:snapToGrid w:val="0"/>
        </w:rPr>
      </w:pPr>
      <w:r w:rsidRPr="00F7081C">
        <w:rPr>
          <w:snapToGrid w:val="0"/>
        </w:rPr>
        <w:t>Iš viso Savivaldybės 202</w:t>
      </w:r>
      <w:r w:rsidR="00F7081C" w:rsidRPr="00F7081C">
        <w:rPr>
          <w:snapToGrid w:val="0"/>
        </w:rPr>
        <w:t>6</w:t>
      </w:r>
      <w:r w:rsidRPr="00F7081C">
        <w:rPr>
          <w:snapToGrid w:val="0"/>
        </w:rPr>
        <w:t xml:space="preserve"> metų biudžete planuojamos gauti pajamos</w:t>
      </w:r>
      <w:r w:rsidR="00C7756A">
        <w:rPr>
          <w:snapToGrid w:val="0"/>
        </w:rPr>
        <w:t xml:space="preserve"> ir kitos lėšos (įskaitant metų pradžios likutį)</w:t>
      </w:r>
      <w:r w:rsidRPr="00F7081C">
        <w:rPr>
          <w:snapToGrid w:val="0"/>
        </w:rPr>
        <w:t xml:space="preserve"> – </w:t>
      </w:r>
      <w:r w:rsidR="00F7081C" w:rsidRPr="00F7081C">
        <w:rPr>
          <w:snapToGrid w:val="0"/>
        </w:rPr>
        <w:t>101 </w:t>
      </w:r>
      <w:r w:rsidR="00470F9D">
        <w:rPr>
          <w:snapToGrid w:val="0"/>
        </w:rPr>
        <w:t>100</w:t>
      </w:r>
      <w:r w:rsidR="00F7081C" w:rsidRPr="00F7081C">
        <w:rPr>
          <w:snapToGrid w:val="0"/>
        </w:rPr>
        <w:t xml:space="preserve"> </w:t>
      </w:r>
      <w:r w:rsidR="00470F9D">
        <w:rPr>
          <w:snapToGrid w:val="0"/>
        </w:rPr>
        <w:t>643</w:t>
      </w:r>
      <w:r w:rsidRPr="00F7081C">
        <w:rPr>
          <w:snapToGrid w:val="0"/>
        </w:rPr>
        <w:t xml:space="preserve"> Eur (sprendimo 1 prieda</w:t>
      </w:r>
      <w:r w:rsidR="00F7081C" w:rsidRPr="00F7081C">
        <w:rPr>
          <w:snapToGrid w:val="0"/>
        </w:rPr>
        <w:t>s</w:t>
      </w:r>
      <w:r w:rsidRPr="00F7081C">
        <w:rPr>
          <w:snapToGrid w:val="0"/>
        </w:rPr>
        <w:t>).</w:t>
      </w:r>
    </w:p>
    <w:p w14:paraId="53E1706F" w14:textId="1A891BE6" w:rsidR="00E967D9" w:rsidRPr="00E967D9" w:rsidRDefault="002B64A2" w:rsidP="00E967D9">
      <w:pPr>
        <w:ind w:right="-1"/>
        <w:jc w:val="both"/>
        <w:rPr>
          <w:rFonts w:eastAsia="Calibri"/>
          <w:bCs/>
          <w:lang w:val="pt-BR" w:eastAsia="en-US"/>
        </w:rPr>
      </w:pPr>
      <w:r>
        <w:rPr>
          <w:noProof/>
        </w:rPr>
        <w:drawing>
          <wp:inline distT="0" distB="0" distL="0" distR="0" wp14:anchorId="18FFFFF4" wp14:editId="753D83EE">
            <wp:extent cx="6081713" cy="3438526"/>
            <wp:effectExtent l="0" t="0" r="14605" b="9525"/>
            <wp:docPr id="2057200472" name="Diagrama 1">
              <a:extLst xmlns:a="http://schemas.openxmlformats.org/drawingml/2006/main">
                <a:ext uri="{FF2B5EF4-FFF2-40B4-BE49-F238E27FC236}">
                  <a16:creationId xmlns:a16="http://schemas.microsoft.com/office/drawing/2014/main" id="{B3A0DC93-6460-D2C7-7B34-75264CF32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BB180C" w14:textId="77777777" w:rsidR="00E967D9" w:rsidRDefault="00E967D9" w:rsidP="0099318C">
      <w:pPr>
        <w:ind w:right="-1"/>
        <w:jc w:val="both"/>
        <w:rPr>
          <w:b/>
        </w:rPr>
      </w:pPr>
    </w:p>
    <w:p w14:paraId="699D6824" w14:textId="72B0490D" w:rsidR="00E967D9" w:rsidRDefault="00E967D9" w:rsidP="00385149">
      <w:pPr>
        <w:ind w:right="-1"/>
        <w:jc w:val="center"/>
        <w:rPr>
          <w:b/>
        </w:rPr>
      </w:pPr>
      <w:r w:rsidRPr="009E3D06">
        <w:rPr>
          <w:b/>
        </w:rPr>
        <w:t>KRETINGOS RAJONO SAVIVALDYBĖS 202</w:t>
      </w:r>
      <w:r w:rsidR="00071002">
        <w:rPr>
          <w:b/>
        </w:rPr>
        <w:t>6</w:t>
      </w:r>
      <w:r w:rsidRPr="009E3D06">
        <w:rPr>
          <w:b/>
        </w:rPr>
        <w:t xml:space="preserve"> METŲ BIUDŽETO ASIGNAVIMAI</w:t>
      </w:r>
    </w:p>
    <w:p w14:paraId="27DCEA8D" w14:textId="77777777" w:rsidR="0099318C" w:rsidRDefault="0099318C" w:rsidP="0099318C">
      <w:pPr>
        <w:ind w:right="-1"/>
        <w:rPr>
          <w:b/>
        </w:rPr>
      </w:pPr>
    </w:p>
    <w:p w14:paraId="12D7183A" w14:textId="7B8DBB61" w:rsidR="002A1A6A" w:rsidRPr="00DB2ECD" w:rsidRDefault="002A1A6A" w:rsidP="00A076E1">
      <w:pPr>
        <w:tabs>
          <w:tab w:val="left" w:pos="851"/>
        </w:tabs>
        <w:ind w:firstLine="851"/>
        <w:jc w:val="both"/>
      </w:pPr>
      <w:r w:rsidRPr="00DB2ECD">
        <w:t>Asignavimai planuojami, vadovaujantis patvirtintomis programomis, atsižvelgiant į sutartinius įsipareigojimus ir</w:t>
      </w:r>
      <w:r w:rsidR="0029177B" w:rsidRPr="00DB2ECD">
        <w:t xml:space="preserve"> Savivaldybės</w:t>
      </w:r>
      <w:r w:rsidRPr="00DB2ECD">
        <w:t xml:space="preserve"> strategini</w:t>
      </w:r>
      <w:r w:rsidR="0029177B" w:rsidRPr="00DB2ECD">
        <w:t>ame</w:t>
      </w:r>
      <w:r w:rsidRPr="00DB2ECD">
        <w:t xml:space="preserve"> veiklos plane 202</w:t>
      </w:r>
      <w:r w:rsidR="00DB2ECD" w:rsidRPr="00DB2ECD">
        <w:t>6</w:t>
      </w:r>
      <w:r w:rsidRPr="00DB2ECD">
        <w:t>–202</w:t>
      </w:r>
      <w:r w:rsidR="00DB2ECD" w:rsidRPr="00DB2ECD">
        <w:t>8</w:t>
      </w:r>
      <w:r w:rsidRPr="00DB2ECD">
        <w:t xml:space="preserve"> metams numatomas priemones. Savivaldybės biudžeto asignavimai paskirstyti savivaldybės vykdomoms programoms finansuoti. Metų pradžios likučio (apyvartinės) lėšos paskirstytos pagal asignavimų valdytojus ir programas pagal sprendimo 4 priedą. Visi asignavimai pagal asignavimų valdytojus ir programas</w:t>
      </w:r>
      <w:r w:rsidR="00525F69" w:rsidRPr="00DB2ECD">
        <w:t xml:space="preserve"> bei finansavimo šaltinius</w:t>
      </w:r>
      <w:r w:rsidRPr="00DB2ECD">
        <w:t xml:space="preserve"> pateikti sprendimo 3 priede.</w:t>
      </w:r>
    </w:p>
    <w:p w14:paraId="62889739" w14:textId="54C0B57A" w:rsidR="00DF059F" w:rsidRDefault="00DF059F" w:rsidP="00A076E1">
      <w:pPr>
        <w:tabs>
          <w:tab w:val="left" w:pos="851"/>
        </w:tabs>
        <w:ind w:firstLine="851"/>
        <w:jc w:val="both"/>
        <w:rPr>
          <w:rFonts w:eastAsia="Calibri"/>
        </w:rPr>
      </w:pPr>
      <w:r w:rsidRPr="007A73A3">
        <w:t>Didžiąją išlaidų dalį sudaro planuojamos išlaidos darbo užmokesčiui. Išlaidos darbo užmokesčiui išaugo dėl minimalios mėnesinės algos padidėjimo, valstybės ir savivaldybių įstaigų darbuotojų ir komisijų narių darbo apmokėjimo įstatymo pasikeitimo, pedagogų darbo užmokesčio pareiginės algos koeficientų didėjimo nuo 202</w:t>
      </w:r>
      <w:r w:rsidR="007A73A3" w:rsidRPr="007A73A3">
        <w:t>5</w:t>
      </w:r>
      <w:r w:rsidRPr="007A73A3">
        <w:t xml:space="preserve"> m. rugsėjo 1 d.</w:t>
      </w:r>
      <w:r w:rsidR="007A73A3" w:rsidRPr="007A73A3">
        <w:t xml:space="preserve"> ir nuo 2026 m. sausio 1 d.</w:t>
      </w:r>
      <w:r w:rsidRPr="007A73A3">
        <w:t xml:space="preserve">, taip pat papildomai skirtos lėšos socialinių paslaugų srities darbuotojų darbo užmokesčiui padidinti bei kultūros ir meno darbuotojų darbo užmokesčiui padidinti. </w:t>
      </w:r>
      <w:r w:rsidRPr="007A73A3">
        <w:rPr>
          <w:rFonts w:eastAsia="Calibri"/>
        </w:rPr>
        <w:t>Planuojant asignavimus darbo užmokesčiui 202</w:t>
      </w:r>
      <w:r w:rsidR="007A73A3" w:rsidRPr="007A73A3">
        <w:rPr>
          <w:rFonts w:eastAsia="Calibri"/>
        </w:rPr>
        <w:t>6</w:t>
      </w:r>
      <w:r w:rsidRPr="007A73A3">
        <w:rPr>
          <w:rFonts w:eastAsia="Calibri"/>
        </w:rPr>
        <w:t xml:space="preserve"> metams, darbo užmokesčio fondas skaičiuojamas atsižvelgiant į patvirtintus biudžetinių įstaigų etatų skaičius bei jų koeficientus. Savivaldybės</w:t>
      </w:r>
      <w:r w:rsidR="000535F5">
        <w:rPr>
          <w:rFonts w:eastAsia="Calibri"/>
        </w:rPr>
        <w:t xml:space="preserve"> 2026 m.</w:t>
      </w:r>
      <w:r w:rsidRPr="007A73A3">
        <w:rPr>
          <w:rFonts w:eastAsia="Calibri"/>
        </w:rPr>
        <w:t xml:space="preserve"> biudžeto lėšų finansavimas darbo užmokesčiui išmokėti suplanuotas 11 mėnesi</w:t>
      </w:r>
      <w:r w:rsidR="00C43E16" w:rsidRPr="007A73A3">
        <w:rPr>
          <w:rFonts w:eastAsia="Calibri"/>
        </w:rPr>
        <w:t>ų</w:t>
      </w:r>
      <w:r w:rsidRPr="007A73A3">
        <w:rPr>
          <w:rFonts w:eastAsia="Calibri"/>
        </w:rPr>
        <w:t>.</w:t>
      </w:r>
    </w:p>
    <w:p w14:paraId="13DAC36A" w14:textId="77777777" w:rsidR="0099318C" w:rsidRPr="00071002" w:rsidRDefault="0099318C" w:rsidP="0099318C">
      <w:pPr>
        <w:tabs>
          <w:tab w:val="left" w:pos="851"/>
        </w:tabs>
        <w:jc w:val="both"/>
        <w:rPr>
          <w:color w:val="EE0000"/>
        </w:rPr>
      </w:pPr>
    </w:p>
    <w:p w14:paraId="002E77AC" w14:textId="38F50ADB" w:rsidR="00A076E1" w:rsidRDefault="00A076E1" w:rsidP="000535F5">
      <w:pPr>
        <w:tabs>
          <w:tab w:val="left" w:pos="851"/>
        </w:tabs>
        <w:jc w:val="center"/>
      </w:pPr>
      <w:r>
        <w:t>Savivaldybės 202</w:t>
      </w:r>
      <w:r w:rsidR="00071002">
        <w:t>6</w:t>
      </w:r>
      <w:r>
        <w:t xml:space="preserve"> metų asignavimų paskirstymas pagal programas:</w:t>
      </w:r>
    </w:p>
    <w:tbl>
      <w:tblPr>
        <w:tblW w:w="9580" w:type="dxa"/>
        <w:tblLook w:val="04A0" w:firstRow="1" w:lastRow="0" w:firstColumn="1" w:lastColumn="0" w:noHBand="0" w:noVBand="1"/>
      </w:tblPr>
      <w:tblGrid>
        <w:gridCol w:w="3867"/>
        <w:gridCol w:w="1924"/>
        <w:gridCol w:w="1925"/>
        <w:gridCol w:w="1690"/>
        <w:gridCol w:w="222"/>
      </w:tblGrid>
      <w:tr w:rsidR="00236D58" w14:paraId="3542CE91" w14:textId="77777777" w:rsidTr="00236D58">
        <w:trPr>
          <w:gridAfter w:val="1"/>
          <w:wAfter w:w="36" w:type="dxa"/>
          <w:trHeight w:val="300"/>
        </w:trPr>
        <w:tc>
          <w:tcPr>
            <w:tcW w:w="3925" w:type="dxa"/>
            <w:vMerge w:val="restart"/>
            <w:tcBorders>
              <w:top w:val="single" w:sz="4" w:space="0" w:color="auto"/>
              <w:left w:val="single" w:sz="4" w:space="0" w:color="auto"/>
              <w:bottom w:val="single" w:sz="4" w:space="0" w:color="000000"/>
              <w:right w:val="single" w:sz="4" w:space="0" w:color="auto"/>
            </w:tcBorders>
            <w:vAlign w:val="center"/>
            <w:hideMark/>
          </w:tcPr>
          <w:p w14:paraId="6ED13F70" w14:textId="77777777" w:rsidR="00236D58" w:rsidRDefault="00236D58">
            <w:pPr>
              <w:jc w:val="center"/>
              <w:rPr>
                <w:sz w:val="20"/>
                <w:szCs w:val="20"/>
              </w:rPr>
            </w:pPr>
            <w:r>
              <w:rPr>
                <w:sz w:val="20"/>
                <w:szCs w:val="20"/>
              </w:rPr>
              <w:t xml:space="preserve">Programos pavadinimas </w:t>
            </w:r>
          </w:p>
        </w:tc>
        <w:tc>
          <w:tcPr>
            <w:tcW w:w="1952" w:type="dxa"/>
            <w:vMerge w:val="restart"/>
            <w:tcBorders>
              <w:top w:val="single" w:sz="4" w:space="0" w:color="auto"/>
              <w:left w:val="single" w:sz="4" w:space="0" w:color="auto"/>
              <w:bottom w:val="single" w:sz="4" w:space="0" w:color="000000"/>
              <w:right w:val="single" w:sz="4" w:space="0" w:color="auto"/>
            </w:tcBorders>
            <w:hideMark/>
          </w:tcPr>
          <w:p w14:paraId="6C7BA525" w14:textId="77777777" w:rsidR="00236D58" w:rsidRDefault="00236D58">
            <w:pPr>
              <w:jc w:val="center"/>
              <w:rPr>
                <w:sz w:val="20"/>
                <w:szCs w:val="20"/>
              </w:rPr>
            </w:pPr>
            <w:r>
              <w:rPr>
                <w:sz w:val="20"/>
                <w:szCs w:val="20"/>
              </w:rPr>
              <w:t>2025 m. išlaidos (tūkst. Eur)</w:t>
            </w:r>
          </w:p>
        </w:tc>
        <w:tc>
          <w:tcPr>
            <w:tcW w:w="1953" w:type="dxa"/>
            <w:vMerge w:val="restart"/>
            <w:tcBorders>
              <w:top w:val="single" w:sz="4" w:space="0" w:color="auto"/>
              <w:left w:val="single" w:sz="4" w:space="0" w:color="auto"/>
              <w:bottom w:val="single" w:sz="4" w:space="0" w:color="000000"/>
              <w:right w:val="single" w:sz="4" w:space="0" w:color="auto"/>
            </w:tcBorders>
            <w:hideMark/>
          </w:tcPr>
          <w:p w14:paraId="5E7B6736" w14:textId="77777777" w:rsidR="00236D58" w:rsidRDefault="00236D58">
            <w:pPr>
              <w:jc w:val="center"/>
              <w:rPr>
                <w:sz w:val="20"/>
                <w:szCs w:val="20"/>
              </w:rPr>
            </w:pPr>
            <w:r>
              <w:rPr>
                <w:sz w:val="20"/>
                <w:szCs w:val="20"/>
              </w:rPr>
              <w:t>2026 m. išlaidų planas (tūkst. Eur)</w:t>
            </w:r>
          </w:p>
        </w:tc>
        <w:tc>
          <w:tcPr>
            <w:tcW w:w="1714" w:type="dxa"/>
            <w:vMerge w:val="restart"/>
            <w:tcBorders>
              <w:top w:val="single" w:sz="4" w:space="0" w:color="auto"/>
              <w:left w:val="single" w:sz="4" w:space="0" w:color="auto"/>
              <w:bottom w:val="single" w:sz="4" w:space="0" w:color="000000"/>
              <w:right w:val="single" w:sz="4" w:space="0" w:color="auto"/>
            </w:tcBorders>
            <w:hideMark/>
          </w:tcPr>
          <w:p w14:paraId="3F337CAD" w14:textId="77777777" w:rsidR="00236D58" w:rsidRDefault="00236D58">
            <w:pPr>
              <w:jc w:val="center"/>
              <w:rPr>
                <w:color w:val="000000"/>
                <w:sz w:val="20"/>
                <w:szCs w:val="20"/>
              </w:rPr>
            </w:pPr>
            <w:r>
              <w:rPr>
                <w:color w:val="000000"/>
                <w:sz w:val="20"/>
                <w:szCs w:val="20"/>
              </w:rPr>
              <w:t>Skirtumas (tūkst. Eur)</w:t>
            </w:r>
          </w:p>
        </w:tc>
      </w:tr>
      <w:tr w:rsidR="00236D58" w14:paraId="5CC9BCD4" w14:textId="77777777" w:rsidTr="00236D58">
        <w:trPr>
          <w:trHeight w:val="300"/>
        </w:trPr>
        <w:tc>
          <w:tcPr>
            <w:tcW w:w="3925" w:type="dxa"/>
            <w:vMerge/>
            <w:tcBorders>
              <w:top w:val="single" w:sz="4" w:space="0" w:color="auto"/>
              <w:left w:val="single" w:sz="4" w:space="0" w:color="auto"/>
              <w:bottom w:val="single" w:sz="4" w:space="0" w:color="000000"/>
              <w:right w:val="single" w:sz="4" w:space="0" w:color="auto"/>
            </w:tcBorders>
            <w:vAlign w:val="center"/>
            <w:hideMark/>
          </w:tcPr>
          <w:p w14:paraId="5EFB62B8" w14:textId="77777777" w:rsidR="00236D58" w:rsidRDefault="00236D58">
            <w:pPr>
              <w:rPr>
                <w:sz w:val="20"/>
                <w:szCs w:val="20"/>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14:paraId="6D072913" w14:textId="77777777" w:rsidR="00236D58" w:rsidRDefault="00236D58">
            <w:pPr>
              <w:rPr>
                <w:sz w:val="20"/>
                <w:szCs w:val="20"/>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46BF9DE3" w14:textId="77777777" w:rsidR="00236D58" w:rsidRDefault="00236D58">
            <w:pPr>
              <w:rPr>
                <w:sz w:val="20"/>
                <w:szCs w:val="20"/>
              </w:rPr>
            </w:pPr>
          </w:p>
        </w:tc>
        <w:tc>
          <w:tcPr>
            <w:tcW w:w="1714" w:type="dxa"/>
            <w:vMerge/>
            <w:tcBorders>
              <w:top w:val="single" w:sz="4" w:space="0" w:color="auto"/>
              <w:left w:val="single" w:sz="4" w:space="0" w:color="auto"/>
              <w:bottom w:val="single" w:sz="4" w:space="0" w:color="000000"/>
              <w:right w:val="single" w:sz="4" w:space="0" w:color="auto"/>
            </w:tcBorders>
            <w:vAlign w:val="center"/>
            <w:hideMark/>
          </w:tcPr>
          <w:p w14:paraId="4018DB2A" w14:textId="77777777" w:rsidR="00236D58" w:rsidRDefault="00236D58">
            <w:pPr>
              <w:rPr>
                <w:color w:val="000000"/>
                <w:sz w:val="20"/>
                <w:szCs w:val="20"/>
              </w:rPr>
            </w:pPr>
          </w:p>
        </w:tc>
        <w:tc>
          <w:tcPr>
            <w:tcW w:w="36" w:type="dxa"/>
            <w:tcBorders>
              <w:top w:val="nil"/>
              <w:left w:val="nil"/>
              <w:bottom w:val="nil"/>
              <w:right w:val="nil"/>
            </w:tcBorders>
            <w:noWrap/>
            <w:vAlign w:val="bottom"/>
            <w:hideMark/>
          </w:tcPr>
          <w:p w14:paraId="149CC1F6" w14:textId="77777777" w:rsidR="00236D58" w:rsidRDefault="00236D58">
            <w:pPr>
              <w:jc w:val="center"/>
              <w:rPr>
                <w:color w:val="000000"/>
                <w:sz w:val="20"/>
                <w:szCs w:val="20"/>
              </w:rPr>
            </w:pPr>
          </w:p>
        </w:tc>
      </w:tr>
      <w:tr w:rsidR="00236D58" w14:paraId="3232A13B"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425DEF47" w14:textId="77777777" w:rsidR="00236D58" w:rsidRDefault="00236D58">
            <w:pPr>
              <w:rPr>
                <w:sz w:val="20"/>
                <w:szCs w:val="20"/>
              </w:rPr>
            </w:pPr>
            <w:r>
              <w:rPr>
                <w:sz w:val="20"/>
                <w:szCs w:val="20"/>
              </w:rPr>
              <w:t>Bendroji programa</w:t>
            </w:r>
          </w:p>
        </w:tc>
        <w:tc>
          <w:tcPr>
            <w:tcW w:w="1952" w:type="dxa"/>
            <w:tcBorders>
              <w:top w:val="nil"/>
              <w:left w:val="nil"/>
              <w:bottom w:val="single" w:sz="4" w:space="0" w:color="auto"/>
              <w:right w:val="single" w:sz="4" w:space="0" w:color="auto"/>
            </w:tcBorders>
            <w:noWrap/>
            <w:hideMark/>
          </w:tcPr>
          <w:p w14:paraId="28B13D9A" w14:textId="77777777" w:rsidR="00236D58" w:rsidRDefault="00236D58">
            <w:pPr>
              <w:jc w:val="center"/>
              <w:rPr>
                <w:sz w:val="20"/>
                <w:szCs w:val="20"/>
              </w:rPr>
            </w:pPr>
            <w:r>
              <w:rPr>
                <w:sz w:val="20"/>
                <w:szCs w:val="20"/>
              </w:rPr>
              <w:t>8 434,1</w:t>
            </w:r>
          </w:p>
        </w:tc>
        <w:tc>
          <w:tcPr>
            <w:tcW w:w="1953" w:type="dxa"/>
            <w:tcBorders>
              <w:top w:val="nil"/>
              <w:left w:val="nil"/>
              <w:bottom w:val="single" w:sz="4" w:space="0" w:color="auto"/>
              <w:right w:val="single" w:sz="4" w:space="0" w:color="auto"/>
            </w:tcBorders>
            <w:noWrap/>
            <w:hideMark/>
          </w:tcPr>
          <w:p w14:paraId="32950960" w14:textId="77777777" w:rsidR="00236D58" w:rsidRDefault="00236D58">
            <w:pPr>
              <w:jc w:val="center"/>
              <w:rPr>
                <w:sz w:val="20"/>
                <w:szCs w:val="20"/>
              </w:rPr>
            </w:pPr>
            <w:r>
              <w:rPr>
                <w:sz w:val="20"/>
                <w:szCs w:val="20"/>
              </w:rPr>
              <w:t>8 988,0</w:t>
            </w:r>
          </w:p>
        </w:tc>
        <w:tc>
          <w:tcPr>
            <w:tcW w:w="1714" w:type="dxa"/>
            <w:tcBorders>
              <w:top w:val="nil"/>
              <w:left w:val="nil"/>
              <w:bottom w:val="single" w:sz="4" w:space="0" w:color="auto"/>
              <w:right w:val="single" w:sz="4" w:space="0" w:color="auto"/>
            </w:tcBorders>
            <w:noWrap/>
            <w:hideMark/>
          </w:tcPr>
          <w:p w14:paraId="1A9565D8" w14:textId="77777777" w:rsidR="00236D58" w:rsidRDefault="00236D58">
            <w:pPr>
              <w:jc w:val="center"/>
              <w:rPr>
                <w:color w:val="000000"/>
                <w:sz w:val="20"/>
                <w:szCs w:val="20"/>
              </w:rPr>
            </w:pPr>
            <w:r>
              <w:rPr>
                <w:color w:val="000000"/>
                <w:sz w:val="20"/>
                <w:szCs w:val="20"/>
              </w:rPr>
              <w:t>554,0</w:t>
            </w:r>
          </w:p>
        </w:tc>
        <w:tc>
          <w:tcPr>
            <w:tcW w:w="36" w:type="dxa"/>
            <w:vAlign w:val="center"/>
            <w:hideMark/>
          </w:tcPr>
          <w:p w14:paraId="7070CB42" w14:textId="77777777" w:rsidR="00236D58" w:rsidRDefault="00236D58">
            <w:pPr>
              <w:rPr>
                <w:sz w:val="20"/>
                <w:szCs w:val="20"/>
              </w:rPr>
            </w:pPr>
          </w:p>
        </w:tc>
      </w:tr>
      <w:tr w:rsidR="00236D58" w14:paraId="6E8B16A0"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5B6030D2" w14:textId="77777777" w:rsidR="00236D58" w:rsidRDefault="00236D58">
            <w:pPr>
              <w:rPr>
                <w:sz w:val="20"/>
                <w:szCs w:val="20"/>
              </w:rPr>
            </w:pPr>
            <w:r>
              <w:rPr>
                <w:sz w:val="20"/>
                <w:szCs w:val="20"/>
              </w:rPr>
              <w:t>Seniūnijų programa</w:t>
            </w:r>
          </w:p>
        </w:tc>
        <w:tc>
          <w:tcPr>
            <w:tcW w:w="1952" w:type="dxa"/>
            <w:tcBorders>
              <w:top w:val="nil"/>
              <w:left w:val="nil"/>
              <w:bottom w:val="single" w:sz="4" w:space="0" w:color="auto"/>
              <w:right w:val="single" w:sz="4" w:space="0" w:color="auto"/>
            </w:tcBorders>
            <w:noWrap/>
            <w:hideMark/>
          </w:tcPr>
          <w:p w14:paraId="143DC0B5" w14:textId="77777777" w:rsidR="00236D58" w:rsidRDefault="00236D58">
            <w:pPr>
              <w:jc w:val="center"/>
              <w:rPr>
                <w:sz w:val="20"/>
                <w:szCs w:val="20"/>
              </w:rPr>
            </w:pPr>
            <w:r>
              <w:rPr>
                <w:sz w:val="20"/>
                <w:szCs w:val="20"/>
              </w:rPr>
              <w:t>4 808,8</w:t>
            </w:r>
          </w:p>
        </w:tc>
        <w:tc>
          <w:tcPr>
            <w:tcW w:w="1953" w:type="dxa"/>
            <w:tcBorders>
              <w:top w:val="nil"/>
              <w:left w:val="nil"/>
              <w:bottom w:val="single" w:sz="4" w:space="0" w:color="auto"/>
              <w:right w:val="single" w:sz="4" w:space="0" w:color="auto"/>
            </w:tcBorders>
            <w:noWrap/>
            <w:hideMark/>
          </w:tcPr>
          <w:p w14:paraId="2016A01F" w14:textId="77777777" w:rsidR="00236D58" w:rsidRDefault="00236D58">
            <w:pPr>
              <w:jc w:val="center"/>
              <w:rPr>
                <w:sz w:val="20"/>
                <w:szCs w:val="20"/>
              </w:rPr>
            </w:pPr>
            <w:r>
              <w:rPr>
                <w:sz w:val="20"/>
                <w:szCs w:val="20"/>
              </w:rPr>
              <w:t>4 742,1</w:t>
            </w:r>
          </w:p>
        </w:tc>
        <w:tc>
          <w:tcPr>
            <w:tcW w:w="1714" w:type="dxa"/>
            <w:tcBorders>
              <w:top w:val="nil"/>
              <w:left w:val="nil"/>
              <w:bottom w:val="single" w:sz="4" w:space="0" w:color="auto"/>
              <w:right w:val="single" w:sz="4" w:space="0" w:color="auto"/>
            </w:tcBorders>
            <w:noWrap/>
            <w:hideMark/>
          </w:tcPr>
          <w:p w14:paraId="1F0979DD" w14:textId="77777777" w:rsidR="00236D58" w:rsidRDefault="00236D58">
            <w:pPr>
              <w:jc w:val="center"/>
              <w:rPr>
                <w:color w:val="000000"/>
                <w:sz w:val="20"/>
                <w:szCs w:val="20"/>
              </w:rPr>
            </w:pPr>
            <w:r>
              <w:rPr>
                <w:color w:val="000000"/>
                <w:sz w:val="20"/>
                <w:szCs w:val="20"/>
              </w:rPr>
              <w:t>-66,7</w:t>
            </w:r>
          </w:p>
        </w:tc>
        <w:tc>
          <w:tcPr>
            <w:tcW w:w="36" w:type="dxa"/>
            <w:vAlign w:val="center"/>
            <w:hideMark/>
          </w:tcPr>
          <w:p w14:paraId="4994DA64" w14:textId="77777777" w:rsidR="00236D58" w:rsidRDefault="00236D58">
            <w:pPr>
              <w:rPr>
                <w:sz w:val="20"/>
                <w:szCs w:val="20"/>
              </w:rPr>
            </w:pPr>
          </w:p>
        </w:tc>
      </w:tr>
      <w:tr w:rsidR="00236D58" w14:paraId="41A679A0"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68EFF255" w14:textId="77777777" w:rsidR="00236D58" w:rsidRDefault="00236D58">
            <w:pPr>
              <w:rPr>
                <w:sz w:val="20"/>
                <w:szCs w:val="20"/>
              </w:rPr>
            </w:pPr>
            <w:r>
              <w:rPr>
                <w:sz w:val="20"/>
                <w:szCs w:val="20"/>
              </w:rPr>
              <w:t>Žemės ūkio programa</w:t>
            </w:r>
          </w:p>
        </w:tc>
        <w:tc>
          <w:tcPr>
            <w:tcW w:w="1952" w:type="dxa"/>
            <w:tcBorders>
              <w:top w:val="nil"/>
              <w:left w:val="nil"/>
              <w:bottom w:val="single" w:sz="4" w:space="0" w:color="auto"/>
              <w:right w:val="single" w:sz="4" w:space="0" w:color="auto"/>
            </w:tcBorders>
            <w:noWrap/>
            <w:hideMark/>
          </w:tcPr>
          <w:p w14:paraId="58308A9B" w14:textId="77777777" w:rsidR="00236D58" w:rsidRDefault="00236D58">
            <w:pPr>
              <w:jc w:val="center"/>
              <w:rPr>
                <w:sz w:val="20"/>
                <w:szCs w:val="20"/>
              </w:rPr>
            </w:pPr>
            <w:r>
              <w:rPr>
                <w:sz w:val="20"/>
                <w:szCs w:val="20"/>
              </w:rPr>
              <w:t>792,5</w:t>
            </w:r>
          </w:p>
        </w:tc>
        <w:tc>
          <w:tcPr>
            <w:tcW w:w="1953" w:type="dxa"/>
            <w:tcBorders>
              <w:top w:val="nil"/>
              <w:left w:val="nil"/>
              <w:bottom w:val="single" w:sz="4" w:space="0" w:color="auto"/>
              <w:right w:val="single" w:sz="4" w:space="0" w:color="auto"/>
            </w:tcBorders>
            <w:noWrap/>
            <w:hideMark/>
          </w:tcPr>
          <w:p w14:paraId="59425371" w14:textId="77777777" w:rsidR="00236D58" w:rsidRDefault="00236D58">
            <w:pPr>
              <w:jc w:val="center"/>
              <w:rPr>
                <w:sz w:val="20"/>
                <w:szCs w:val="20"/>
              </w:rPr>
            </w:pPr>
            <w:r>
              <w:rPr>
                <w:sz w:val="20"/>
                <w:szCs w:val="20"/>
              </w:rPr>
              <w:t>1 043,0</w:t>
            </w:r>
          </w:p>
        </w:tc>
        <w:tc>
          <w:tcPr>
            <w:tcW w:w="1714" w:type="dxa"/>
            <w:tcBorders>
              <w:top w:val="nil"/>
              <w:left w:val="nil"/>
              <w:bottom w:val="single" w:sz="4" w:space="0" w:color="auto"/>
              <w:right w:val="single" w:sz="4" w:space="0" w:color="auto"/>
            </w:tcBorders>
            <w:noWrap/>
            <w:hideMark/>
          </w:tcPr>
          <w:p w14:paraId="60880EE9" w14:textId="77777777" w:rsidR="00236D58" w:rsidRDefault="00236D58">
            <w:pPr>
              <w:jc w:val="center"/>
              <w:rPr>
                <w:color w:val="000000"/>
                <w:sz w:val="20"/>
                <w:szCs w:val="20"/>
              </w:rPr>
            </w:pPr>
            <w:r>
              <w:rPr>
                <w:color w:val="000000"/>
                <w:sz w:val="20"/>
                <w:szCs w:val="20"/>
              </w:rPr>
              <w:t>250,5</w:t>
            </w:r>
          </w:p>
        </w:tc>
        <w:tc>
          <w:tcPr>
            <w:tcW w:w="36" w:type="dxa"/>
            <w:vAlign w:val="center"/>
            <w:hideMark/>
          </w:tcPr>
          <w:p w14:paraId="5EB0D9F5" w14:textId="77777777" w:rsidR="00236D58" w:rsidRDefault="00236D58">
            <w:pPr>
              <w:rPr>
                <w:sz w:val="20"/>
                <w:szCs w:val="20"/>
              </w:rPr>
            </w:pPr>
          </w:p>
        </w:tc>
      </w:tr>
      <w:tr w:rsidR="00236D58" w14:paraId="3E70A31E"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2A94BF00" w14:textId="77777777" w:rsidR="00236D58" w:rsidRDefault="00236D58">
            <w:pPr>
              <w:rPr>
                <w:sz w:val="20"/>
                <w:szCs w:val="20"/>
              </w:rPr>
            </w:pPr>
            <w:r>
              <w:rPr>
                <w:sz w:val="20"/>
                <w:szCs w:val="20"/>
              </w:rPr>
              <w:t>Strateginio planavimo ir investicijų programa</w:t>
            </w:r>
          </w:p>
        </w:tc>
        <w:tc>
          <w:tcPr>
            <w:tcW w:w="1952" w:type="dxa"/>
            <w:tcBorders>
              <w:top w:val="nil"/>
              <w:left w:val="nil"/>
              <w:bottom w:val="single" w:sz="4" w:space="0" w:color="auto"/>
              <w:right w:val="single" w:sz="4" w:space="0" w:color="auto"/>
            </w:tcBorders>
            <w:noWrap/>
            <w:hideMark/>
          </w:tcPr>
          <w:p w14:paraId="27702E9B" w14:textId="77777777" w:rsidR="00236D58" w:rsidRDefault="00236D58">
            <w:pPr>
              <w:jc w:val="center"/>
              <w:rPr>
                <w:sz w:val="20"/>
                <w:szCs w:val="20"/>
              </w:rPr>
            </w:pPr>
            <w:r>
              <w:rPr>
                <w:sz w:val="20"/>
                <w:szCs w:val="20"/>
              </w:rPr>
              <w:t>8 494,4</w:t>
            </w:r>
          </w:p>
        </w:tc>
        <w:tc>
          <w:tcPr>
            <w:tcW w:w="1953" w:type="dxa"/>
            <w:tcBorders>
              <w:top w:val="nil"/>
              <w:left w:val="nil"/>
              <w:bottom w:val="single" w:sz="4" w:space="0" w:color="auto"/>
              <w:right w:val="single" w:sz="4" w:space="0" w:color="auto"/>
            </w:tcBorders>
            <w:noWrap/>
            <w:hideMark/>
          </w:tcPr>
          <w:p w14:paraId="15B8AE5A" w14:textId="77777777" w:rsidR="00236D58" w:rsidRDefault="00236D58">
            <w:pPr>
              <w:jc w:val="center"/>
              <w:rPr>
                <w:sz w:val="20"/>
                <w:szCs w:val="20"/>
              </w:rPr>
            </w:pPr>
            <w:r>
              <w:rPr>
                <w:sz w:val="20"/>
                <w:szCs w:val="20"/>
              </w:rPr>
              <w:t>13 751,1</w:t>
            </w:r>
          </w:p>
        </w:tc>
        <w:tc>
          <w:tcPr>
            <w:tcW w:w="1714" w:type="dxa"/>
            <w:tcBorders>
              <w:top w:val="nil"/>
              <w:left w:val="nil"/>
              <w:bottom w:val="single" w:sz="4" w:space="0" w:color="auto"/>
              <w:right w:val="single" w:sz="4" w:space="0" w:color="auto"/>
            </w:tcBorders>
            <w:noWrap/>
            <w:hideMark/>
          </w:tcPr>
          <w:p w14:paraId="69057574" w14:textId="77777777" w:rsidR="00236D58" w:rsidRDefault="00236D58">
            <w:pPr>
              <w:jc w:val="center"/>
              <w:rPr>
                <w:color w:val="000000"/>
                <w:sz w:val="20"/>
                <w:szCs w:val="20"/>
              </w:rPr>
            </w:pPr>
            <w:r>
              <w:rPr>
                <w:color w:val="000000"/>
                <w:sz w:val="20"/>
                <w:szCs w:val="20"/>
              </w:rPr>
              <w:t>5 256,7</w:t>
            </w:r>
          </w:p>
        </w:tc>
        <w:tc>
          <w:tcPr>
            <w:tcW w:w="36" w:type="dxa"/>
            <w:vAlign w:val="center"/>
            <w:hideMark/>
          </w:tcPr>
          <w:p w14:paraId="1177DD47" w14:textId="77777777" w:rsidR="00236D58" w:rsidRDefault="00236D58">
            <w:pPr>
              <w:rPr>
                <w:sz w:val="20"/>
                <w:szCs w:val="20"/>
              </w:rPr>
            </w:pPr>
          </w:p>
        </w:tc>
      </w:tr>
      <w:tr w:rsidR="00236D58" w14:paraId="0A69414A"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022E83D4" w14:textId="77777777" w:rsidR="00236D58" w:rsidRDefault="00236D58">
            <w:pPr>
              <w:rPr>
                <w:sz w:val="20"/>
                <w:szCs w:val="20"/>
              </w:rPr>
            </w:pPr>
            <w:r>
              <w:rPr>
                <w:sz w:val="20"/>
                <w:szCs w:val="20"/>
              </w:rPr>
              <w:t>Vietinio ūkio ir turto valdymo programa</w:t>
            </w:r>
          </w:p>
        </w:tc>
        <w:tc>
          <w:tcPr>
            <w:tcW w:w="1952" w:type="dxa"/>
            <w:tcBorders>
              <w:top w:val="nil"/>
              <w:left w:val="nil"/>
              <w:bottom w:val="single" w:sz="4" w:space="0" w:color="auto"/>
              <w:right w:val="single" w:sz="4" w:space="0" w:color="auto"/>
            </w:tcBorders>
            <w:noWrap/>
            <w:hideMark/>
          </w:tcPr>
          <w:p w14:paraId="4D840BE5" w14:textId="77777777" w:rsidR="00236D58" w:rsidRDefault="00236D58">
            <w:pPr>
              <w:jc w:val="center"/>
              <w:rPr>
                <w:sz w:val="20"/>
                <w:szCs w:val="20"/>
              </w:rPr>
            </w:pPr>
            <w:r>
              <w:rPr>
                <w:sz w:val="20"/>
                <w:szCs w:val="20"/>
              </w:rPr>
              <w:t>9 821,1</w:t>
            </w:r>
          </w:p>
        </w:tc>
        <w:tc>
          <w:tcPr>
            <w:tcW w:w="1953" w:type="dxa"/>
            <w:tcBorders>
              <w:top w:val="nil"/>
              <w:left w:val="nil"/>
              <w:bottom w:val="single" w:sz="4" w:space="0" w:color="auto"/>
              <w:right w:val="single" w:sz="4" w:space="0" w:color="auto"/>
            </w:tcBorders>
            <w:noWrap/>
            <w:hideMark/>
          </w:tcPr>
          <w:p w14:paraId="5DC92CA7" w14:textId="77777777" w:rsidR="00236D58" w:rsidRDefault="00236D58">
            <w:pPr>
              <w:jc w:val="center"/>
              <w:rPr>
                <w:sz w:val="20"/>
                <w:szCs w:val="20"/>
              </w:rPr>
            </w:pPr>
            <w:r>
              <w:rPr>
                <w:sz w:val="20"/>
                <w:szCs w:val="20"/>
              </w:rPr>
              <w:t>12 510,8</w:t>
            </w:r>
          </w:p>
        </w:tc>
        <w:tc>
          <w:tcPr>
            <w:tcW w:w="1714" w:type="dxa"/>
            <w:tcBorders>
              <w:top w:val="nil"/>
              <w:left w:val="nil"/>
              <w:bottom w:val="single" w:sz="4" w:space="0" w:color="auto"/>
              <w:right w:val="single" w:sz="4" w:space="0" w:color="auto"/>
            </w:tcBorders>
            <w:noWrap/>
            <w:hideMark/>
          </w:tcPr>
          <w:p w14:paraId="09C2F90F" w14:textId="77777777" w:rsidR="00236D58" w:rsidRDefault="00236D58">
            <w:pPr>
              <w:jc w:val="center"/>
              <w:rPr>
                <w:color w:val="000000"/>
                <w:sz w:val="20"/>
                <w:szCs w:val="20"/>
              </w:rPr>
            </w:pPr>
            <w:r>
              <w:rPr>
                <w:color w:val="000000"/>
                <w:sz w:val="20"/>
                <w:szCs w:val="20"/>
              </w:rPr>
              <w:t>2 689,7</w:t>
            </w:r>
          </w:p>
        </w:tc>
        <w:tc>
          <w:tcPr>
            <w:tcW w:w="36" w:type="dxa"/>
            <w:vAlign w:val="center"/>
            <w:hideMark/>
          </w:tcPr>
          <w:p w14:paraId="17D967A1" w14:textId="77777777" w:rsidR="00236D58" w:rsidRDefault="00236D58">
            <w:pPr>
              <w:rPr>
                <w:sz w:val="20"/>
                <w:szCs w:val="20"/>
              </w:rPr>
            </w:pPr>
          </w:p>
        </w:tc>
      </w:tr>
      <w:tr w:rsidR="00236D58" w14:paraId="638A1F96"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02FA7766" w14:textId="77777777" w:rsidR="00236D58" w:rsidRDefault="00236D58">
            <w:pPr>
              <w:rPr>
                <w:sz w:val="20"/>
                <w:szCs w:val="20"/>
              </w:rPr>
            </w:pPr>
            <w:r>
              <w:rPr>
                <w:sz w:val="20"/>
                <w:szCs w:val="20"/>
              </w:rPr>
              <w:t>Sveikatos apsaugos programa</w:t>
            </w:r>
          </w:p>
        </w:tc>
        <w:tc>
          <w:tcPr>
            <w:tcW w:w="1952" w:type="dxa"/>
            <w:tcBorders>
              <w:top w:val="nil"/>
              <w:left w:val="nil"/>
              <w:bottom w:val="single" w:sz="4" w:space="0" w:color="auto"/>
              <w:right w:val="single" w:sz="4" w:space="0" w:color="auto"/>
            </w:tcBorders>
            <w:noWrap/>
            <w:hideMark/>
          </w:tcPr>
          <w:p w14:paraId="5DC32A6B" w14:textId="77777777" w:rsidR="00236D58" w:rsidRDefault="00236D58">
            <w:pPr>
              <w:jc w:val="center"/>
              <w:rPr>
                <w:sz w:val="20"/>
                <w:szCs w:val="20"/>
              </w:rPr>
            </w:pPr>
            <w:r>
              <w:rPr>
                <w:sz w:val="20"/>
                <w:szCs w:val="20"/>
              </w:rPr>
              <w:t>756,1</w:t>
            </w:r>
          </w:p>
        </w:tc>
        <w:tc>
          <w:tcPr>
            <w:tcW w:w="1953" w:type="dxa"/>
            <w:tcBorders>
              <w:top w:val="nil"/>
              <w:left w:val="nil"/>
              <w:bottom w:val="single" w:sz="4" w:space="0" w:color="auto"/>
              <w:right w:val="single" w:sz="4" w:space="0" w:color="auto"/>
            </w:tcBorders>
            <w:noWrap/>
            <w:hideMark/>
          </w:tcPr>
          <w:p w14:paraId="233F24B7" w14:textId="77777777" w:rsidR="00236D58" w:rsidRDefault="00236D58">
            <w:pPr>
              <w:jc w:val="center"/>
              <w:rPr>
                <w:sz w:val="20"/>
                <w:szCs w:val="20"/>
              </w:rPr>
            </w:pPr>
            <w:r>
              <w:rPr>
                <w:sz w:val="20"/>
                <w:szCs w:val="20"/>
              </w:rPr>
              <w:t>869,5</w:t>
            </w:r>
          </w:p>
        </w:tc>
        <w:tc>
          <w:tcPr>
            <w:tcW w:w="1714" w:type="dxa"/>
            <w:tcBorders>
              <w:top w:val="nil"/>
              <w:left w:val="nil"/>
              <w:bottom w:val="single" w:sz="4" w:space="0" w:color="auto"/>
              <w:right w:val="single" w:sz="4" w:space="0" w:color="auto"/>
            </w:tcBorders>
            <w:noWrap/>
            <w:hideMark/>
          </w:tcPr>
          <w:p w14:paraId="487042CB" w14:textId="77777777" w:rsidR="00236D58" w:rsidRDefault="00236D58">
            <w:pPr>
              <w:jc w:val="center"/>
              <w:rPr>
                <w:color w:val="000000"/>
                <w:sz w:val="20"/>
                <w:szCs w:val="20"/>
              </w:rPr>
            </w:pPr>
            <w:r>
              <w:rPr>
                <w:color w:val="000000"/>
                <w:sz w:val="20"/>
                <w:szCs w:val="20"/>
              </w:rPr>
              <w:t>113,3</w:t>
            </w:r>
          </w:p>
        </w:tc>
        <w:tc>
          <w:tcPr>
            <w:tcW w:w="36" w:type="dxa"/>
            <w:vAlign w:val="center"/>
            <w:hideMark/>
          </w:tcPr>
          <w:p w14:paraId="15BF3612" w14:textId="77777777" w:rsidR="00236D58" w:rsidRDefault="00236D58">
            <w:pPr>
              <w:rPr>
                <w:sz w:val="20"/>
                <w:szCs w:val="20"/>
              </w:rPr>
            </w:pPr>
          </w:p>
        </w:tc>
      </w:tr>
      <w:tr w:rsidR="00236D58" w14:paraId="3B78E57A"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44EAAF88" w14:textId="77777777" w:rsidR="00236D58" w:rsidRDefault="00236D58">
            <w:pPr>
              <w:rPr>
                <w:sz w:val="20"/>
                <w:szCs w:val="20"/>
              </w:rPr>
            </w:pPr>
            <w:r>
              <w:rPr>
                <w:sz w:val="20"/>
                <w:szCs w:val="20"/>
              </w:rPr>
              <w:t>Kultūros programa</w:t>
            </w:r>
          </w:p>
        </w:tc>
        <w:tc>
          <w:tcPr>
            <w:tcW w:w="1952" w:type="dxa"/>
            <w:tcBorders>
              <w:top w:val="nil"/>
              <w:left w:val="nil"/>
              <w:bottom w:val="single" w:sz="4" w:space="0" w:color="auto"/>
              <w:right w:val="single" w:sz="4" w:space="0" w:color="auto"/>
            </w:tcBorders>
            <w:noWrap/>
            <w:hideMark/>
          </w:tcPr>
          <w:p w14:paraId="7A5CDFC6" w14:textId="77777777" w:rsidR="00236D58" w:rsidRDefault="00236D58">
            <w:pPr>
              <w:jc w:val="center"/>
              <w:rPr>
                <w:sz w:val="20"/>
                <w:szCs w:val="20"/>
              </w:rPr>
            </w:pPr>
            <w:r>
              <w:rPr>
                <w:sz w:val="20"/>
                <w:szCs w:val="20"/>
              </w:rPr>
              <w:t>5 635,8</w:t>
            </w:r>
          </w:p>
        </w:tc>
        <w:tc>
          <w:tcPr>
            <w:tcW w:w="1953" w:type="dxa"/>
            <w:tcBorders>
              <w:top w:val="nil"/>
              <w:left w:val="nil"/>
              <w:bottom w:val="single" w:sz="4" w:space="0" w:color="auto"/>
              <w:right w:val="single" w:sz="4" w:space="0" w:color="auto"/>
            </w:tcBorders>
            <w:noWrap/>
            <w:hideMark/>
          </w:tcPr>
          <w:p w14:paraId="5801BA4C" w14:textId="77777777" w:rsidR="00236D58" w:rsidRDefault="00236D58">
            <w:pPr>
              <w:jc w:val="center"/>
              <w:rPr>
                <w:sz w:val="20"/>
                <w:szCs w:val="20"/>
              </w:rPr>
            </w:pPr>
            <w:r>
              <w:rPr>
                <w:sz w:val="20"/>
                <w:szCs w:val="20"/>
              </w:rPr>
              <w:t>6 041,6</w:t>
            </w:r>
          </w:p>
        </w:tc>
        <w:tc>
          <w:tcPr>
            <w:tcW w:w="1714" w:type="dxa"/>
            <w:tcBorders>
              <w:top w:val="nil"/>
              <w:left w:val="nil"/>
              <w:bottom w:val="single" w:sz="4" w:space="0" w:color="auto"/>
              <w:right w:val="single" w:sz="4" w:space="0" w:color="auto"/>
            </w:tcBorders>
            <w:noWrap/>
            <w:hideMark/>
          </w:tcPr>
          <w:p w14:paraId="5554C9C1" w14:textId="77777777" w:rsidR="00236D58" w:rsidRDefault="00236D58">
            <w:pPr>
              <w:jc w:val="center"/>
              <w:rPr>
                <w:color w:val="000000"/>
                <w:sz w:val="20"/>
                <w:szCs w:val="20"/>
              </w:rPr>
            </w:pPr>
            <w:r>
              <w:rPr>
                <w:color w:val="000000"/>
                <w:sz w:val="20"/>
                <w:szCs w:val="20"/>
              </w:rPr>
              <w:t>405,8</w:t>
            </w:r>
          </w:p>
        </w:tc>
        <w:tc>
          <w:tcPr>
            <w:tcW w:w="36" w:type="dxa"/>
            <w:vAlign w:val="center"/>
            <w:hideMark/>
          </w:tcPr>
          <w:p w14:paraId="30CCCA47" w14:textId="77777777" w:rsidR="00236D58" w:rsidRDefault="00236D58">
            <w:pPr>
              <w:rPr>
                <w:sz w:val="20"/>
                <w:szCs w:val="20"/>
              </w:rPr>
            </w:pPr>
          </w:p>
        </w:tc>
      </w:tr>
      <w:tr w:rsidR="00236D58" w14:paraId="77D10B1C" w14:textId="77777777" w:rsidTr="00236D58">
        <w:trPr>
          <w:trHeight w:val="300"/>
        </w:trPr>
        <w:tc>
          <w:tcPr>
            <w:tcW w:w="3925" w:type="dxa"/>
            <w:tcBorders>
              <w:top w:val="nil"/>
              <w:left w:val="single" w:sz="4" w:space="0" w:color="auto"/>
              <w:bottom w:val="single" w:sz="4" w:space="0" w:color="auto"/>
              <w:right w:val="single" w:sz="4" w:space="0" w:color="auto"/>
            </w:tcBorders>
            <w:hideMark/>
          </w:tcPr>
          <w:p w14:paraId="28085170" w14:textId="77777777" w:rsidR="00236D58" w:rsidRDefault="00236D58">
            <w:pPr>
              <w:rPr>
                <w:sz w:val="20"/>
                <w:szCs w:val="20"/>
              </w:rPr>
            </w:pPr>
            <w:r>
              <w:rPr>
                <w:sz w:val="20"/>
                <w:szCs w:val="20"/>
              </w:rPr>
              <w:t>Švietimo programa</w:t>
            </w:r>
          </w:p>
        </w:tc>
        <w:tc>
          <w:tcPr>
            <w:tcW w:w="1952" w:type="dxa"/>
            <w:tcBorders>
              <w:top w:val="nil"/>
              <w:left w:val="nil"/>
              <w:bottom w:val="single" w:sz="4" w:space="0" w:color="auto"/>
              <w:right w:val="single" w:sz="4" w:space="0" w:color="auto"/>
            </w:tcBorders>
            <w:noWrap/>
            <w:hideMark/>
          </w:tcPr>
          <w:p w14:paraId="6229008A" w14:textId="77777777" w:rsidR="00236D58" w:rsidRDefault="00236D58">
            <w:pPr>
              <w:jc w:val="center"/>
              <w:rPr>
                <w:sz w:val="20"/>
                <w:szCs w:val="20"/>
              </w:rPr>
            </w:pPr>
            <w:r>
              <w:rPr>
                <w:sz w:val="20"/>
                <w:szCs w:val="20"/>
              </w:rPr>
              <w:t>39 299,6</w:t>
            </w:r>
          </w:p>
        </w:tc>
        <w:tc>
          <w:tcPr>
            <w:tcW w:w="1953" w:type="dxa"/>
            <w:tcBorders>
              <w:top w:val="nil"/>
              <w:left w:val="nil"/>
              <w:bottom w:val="single" w:sz="4" w:space="0" w:color="auto"/>
              <w:right w:val="single" w:sz="4" w:space="0" w:color="auto"/>
            </w:tcBorders>
            <w:noWrap/>
            <w:hideMark/>
          </w:tcPr>
          <w:p w14:paraId="5A069994" w14:textId="77777777" w:rsidR="00236D58" w:rsidRDefault="00236D58">
            <w:pPr>
              <w:jc w:val="center"/>
              <w:rPr>
                <w:sz w:val="20"/>
                <w:szCs w:val="20"/>
              </w:rPr>
            </w:pPr>
            <w:r>
              <w:rPr>
                <w:sz w:val="20"/>
                <w:szCs w:val="20"/>
              </w:rPr>
              <w:t>40 157,4</w:t>
            </w:r>
          </w:p>
        </w:tc>
        <w:tc>
          <w:tcPr>
            <w:tcW w:w="1714" w:type="dxa"/>
            <w:tcBorders>
              <w:top w:val="nil"/>
              <w:left w:val="nil"/>
              <w:bottom w:val="single" w:sz="4" w:space="0" w:color="auto"/>
              <w:right w:val="single" w:sz="4" w:space="0" w:color="auto"/>
            </w:tcBorders>
            <w:noWrap/>
            <w:hideMark/>
          </w:tcPr>
          <w:p w14:paraId="4A3EAEBD" w14:textId="77777777" w:rsidR="00236D58" w:rsidRDefault="00236D58">
            <w:pPr>
              <w:jc w:val="center"/>
              <w:rPr>
                <w:color w:val="000000"/>
                <w:sz w:val="20"/>
                <w:szCs w:val="20"/>
              </w:rPr>
            </w:pPr>
            <w:r>
              <w:rPr>
                <w:color w:val="000000"/>
                <w:sz w:val="20"/>
                <w:szCs w:val="20"/>
              </w:rPr>
              <w:t>857,8</w:t>
            </w:r>
          </w:p>
        </w:tc>
        <w:tc>
          <w:tcPr>
            <w:tcW w:w="36" w:type="dxa"/>
            <w:vAlign w:val="center"/>
            <w:hideMark/>
          </w:tcPr>
          <w:p w14:paraId="61C258AF" w14:textId="77777777" w:rsidR="00236D58" w:rsidRDefault="00236D58">
            <w:pPr>
              <w:rPr>
                <w:sz w:val="20"/>
                <w:szCs w:val="20"/>
              </w:rPr>
            </w:pPr>
          </w:p>
        </w:tc>
      </w:tr>
      <w:tr w:rsidR="00236D58" w14:paraId="3F83F3B8" w14:textId="77777777" w:rsidTr="00236D58">
        <w:trPr>
          <w:trHeight w:val="300"/>
        </w:trPr>
        <w:tc>
          <w:tcPr>
            <w:tcW w:w="3925" w:type="dxa"/>
            <w:tcBorders>
              <w:top w:val="nil"/>
              <w:left w:val="single" w:sz="4" w:space="0" w:color="auto"/>
              <w:bottom w:val="nil"/>
              <w:right w:val="single" w:sz="4" w:space="0" w:color="auto"/>
            </w:tcBorders>
            <w:hideMark/>
          </w:tcPr>
          <w:p w14:paraId="29A433B3" w14:textId="77777777" w:rsidR="00236D58" w:rsidRDefault="00236D58">
            <w:pPr>
              <w:rPr>
                <w:sz w:val="20"/>
                <w:szCs w:val="20"/>
              </w:rPr>
            </w:pPr>
            <w:r>
              <w:rPr>
                <w:sz w:val="20"/>
                <w:szCs w:val="20"/>
              </w:rPr>
              <w:t>Socialinės paramos programa</w:t>
            </w:r>
          </w:p>
        </w:tc>
        <w:tc>
          <w:tcPr>
            <w:tcW w:w="1952" w:type="dxa"/>
            <w:tcBorders>
              <w:top w:val="nil"/>
              <w:left w:val="nil"/>
              <w:bottom w:val="nil"/>
              <w:right w:val="single" w:sz="4" w:space="0" w:color="auto"/>
            </w:tcBorders>
            <w:noWrap/>
            <w:hideMark/>
          </w:tcPr>
          <w:p w14:paraId="1B601DB1" w14:textId="77777777" w:rsidR="00236D58" w:rsidRDefault="00236D58">
            <w:pPr>
              <w:jc w:val="center"/>
              <w:rPr>
                <w:sz w:val="20"/>
                <w:szCs w:val="20"/>
              </w:rPr>
            </w:pPr>
            <w:r>
              <w:rPr>
                <w:sz w:val="20"/>
                <w:szCs w:val="20"/>
              </w:rPr>
              <w:t>10 749,6</w:t>
            </w:r>
          </w:p>
        </w:tc>
        <w:tc>
          <w:tcPr>
            <w:tcW w:w="1953" w:type="dxa"/>
            <w:tcBorders>
              <w:top w:val="nil"/>
              <w:left w:val="nil"/>
              <w:bottom w:val="single" w:sz="4" w:space="0" w:color="auto"/>
              <w:right w:val="single" w:sz="4" w:space="0" w:color="auto"/>
            </w:tcBorders>
            <w:noWrap/>
            <w:hideMark/>
          </w:tcPr>
          <w:p w14:paraId="515FC39A" w14:textId="77777777" w:rsidR="00236D58" w:rsidRDefault="00236D58">
            <w:pPr>
              <w:jc w:val="center"/>
              <w:rPr>
                <w:sz w:val="20"/>
                <w:szCs w:val="20"/>
              </w:rPr>
            </w:pPr>
            <w:r>
              <w:rPr>
                <w:sz w:val="20"/>
                <w:szCs w:val="20"/>
              </w:rPr>
              <w:t>10 630,6</w:t>
            </w:r>
          </w:p>
        </w:tc>
        <w:tc>
          <w:tcPr>
            <w:tcW w:w="1714" w:type="dxa"/>
            <w:tcBorders>
              <w:top w:val="nil"/>
              <w:left w:val="nil"/>
              <w:bottom w:val="single" w:sz="4" w:space="0" w:color="auto"/>
              <w:right w:val="single" w:sz="4" w:space="0" w:color="auto"/>
            </w:tcBorders>
            <w:noWrap/>
            <w:hideMark/>
          </w:tcPr>
          <w:p w14:paraId="61DFBC8A" w14:textId="77777777" w:rsidR="00236D58" w:rsidRDefault="00236D58">
            <w:pPr>
              <w:jc w:val="center"/>
              <w:rPr>
                <w:color w:val="000000"/>
                <w:sz w:val="20"/>
                <w:szCs w:val="20"/>
              </w:rPr>
            </w:pPr>
            <w:r>
              <w:rPr>
                <w:color w:val="000000"/>
                <w:sz w:val="20"/>
                <w:szCs w:val="20"/>
              </w:rPr>
              <w:t>-118,9</w:t>
            </w:r>
          </w:p>
        </w:tc>
        <w:tc>
          <w:tcPr>
            <w:tcW w:w="36" w:type="dxa"/>
            <w:vAlign w:val="center"/>
            <w:hideMark/>
          </w:tcPr>
          <w:p w14:paraId="5F50F2EA" w14:textId="77777777" w:rsidR="00236D58" w:rsidRDefault="00236D58">
            <w:pPr>
              <w:rPr>
                <w:sz w:val="20"/>
                <w:szCs w:val="20"/>
              </w:rPr>
            </w:pPr>
          </w:p>
        </w:tc>
      </w:tr>
      <w:tr w:rsidR="00236D58" w14:paraId="12C840F2" w14:textId="77777777" w:rsidTr="00236D58">
        <w:trPr>
          <w:trHeight w:val="300"/>
        </w:trPr>
        <w:tc>
          <w:tcPr>
            <w:tcW w:w="3925" w:type="dxa"/>
            <w:tcBorders>
              <w:top w:val="single" w:sz="4" w:space="0" w:color="auto"/>
              <w:left w:val="single" w:sz="4" w:space="0" w:color="auto"/>
              <w:bottom w:val="single" w:sz="4" w:space="0" w:color="auto"/>
              <w:right w:val="nil"/>
            </w:tcBorders>
            <w:hideMark/>
          </w:tcPr>
          <w:p w14:paraId="4429A539" w14:textId="77777777" w:rsidR="00236D58" w:rsidRDefault="00236D58">
            <w:pPr>
              <w:rPr>
                <w:sz w:val="20"/>
                <w:szCs w:val="20"/>
              </w:rPr>
            </w:pPr>
            <w:r>
              <w:rPr>
                <w:sz w:val="20"/>
                <w:szCs w:val="20"/>
              </w:rPr>
              <w:t>Kūno kultūros ir sporto programa</w:t>
            </w:r>
          </w:p>
        </w:tc>
        <w:tc>
          <w:tcPr>
            <w:tcW w:w="1952" w:type="dxa"/>
            <w:tcBorders>
              <w:top w:val="single" w:sz="4" w:space="0" w:color="auto"/>
              <w:left w:val="single" w:sz="4" w:space="0" w:color="auto"/>
              <w:bottom w:val="single" w:sz="4" w:space="0" w:color="auto"/>
              <w:right w:val="single" w:sz="4" w:space="0" w:color="auto"/>
            </w:tcBorders>
            <w:noWrap/>
            <w:hideMark/>
          </w:tcPr>
          <w:p w14:paraId="0CB44B36" w14:textId="77777777" w:rsidR="00236D58" w:rsidRDefault="00236D58">
            <w:pPr>
              <w:jc w:val="center"/>
              <w:rPr>
                <w:sz w:val="20"/>
                <w:szCs w:val="20"/>
              </w:rPr>
            </w:pPr>
            <w:r>
              <w:rPr>
                <w:sz w:val="20"/>
                <w:szCs w:val="20"/>
              </w:rPr>
              <w:t>875,8</w:t>
            </w:r>
          </w:p>
        </w:tc>
        <w:tc>
          <w:tcPr>
            <w:tcW w:w="1953" w:type="dxa"/>
            <w:tcBorders>
              <w:top w:val="nil"/>
              <w:left w:val="nil"/>
              <w:bottom w:val="single" w:sz="4" w:space="0" w:color="auto"/>
              <w:right w:val="single" w:sz="4" w:space="0" w:color="auto"/>
            </w:tcBorders>
            <w:noWrap/>
            <w:hideMark/>
          </w:tcPr>
          <w:p w14:paraId="7BB5FF60" w14:textId="77777777" w:rsidR="00236D58" w:rsidRDefault="00236D58">
            <w:pPr>
              <w:jc w:val="center"/>
              <w:rPr>
                <w:sz w:val="20"/>
                <w:szCs w:val="20"/>
              </w:rPr>
            </w:pPr>
            <w:r>
              <w:rPr>
                <w:sz w:val="20"/>
                <w:szCs w:val="20"/>
              </w:rPr>
              <w:t>2 018,2</w:t>
            </w:r>
          </w:p>
        </w:tc>
        <w:tc>
          <w:tcPr>
            <w:tcW w:w="1714" w:type="dxa"/>
            <w:tcBorders>
              <w:top w:val="nil"/>
              <w:left w:val="nil"/>
              <w:bottom w:val="single" w:sz="4" w:space="0" w:color="auto"/>
              <w:right w:val="single" w:sz="4" w:space="0" w:color="auto"/>
            </w:tcBorders>
            <w:noWrap/>
            <w:hideMark/>
          </w:tcPr>
          <w:p w14:paraId="1012FEE3" w14:textId="77777777" w:rsidR="00236D58" w:rsidRDefault="00236D58">
            <w:pPr>
              <w:jc w:val="center"/>
              <w:rPr>
                <w:color w:val="000000"/>
                <w:sz w:val="20"/>
                <w:szCs w:val="20"/>
              </w:rPr>
            </w:pPr>
            <w:r>
              <w:rPr>
                <w:color w:val="000000"/>
                <w:sz w:val="20"/>
                <w:szCs w:val="20"/>
              </w:rPr>
              <w:t>1 142,4</w:t>
            </w:r>
          </w:p>
        </w:tc>
        <w:tc>
          <w:tcPr>
            <w:tcW w:w="36" w:type="dxa"/>
            <w:vAlign w:val="center"/>
            <w:hideMark/>
          </w:tcPr>
          <w:p w14:paraId="43C90B6E" w14:textId="77777777" w:rsidR="00236D58" w:rsidRDefault="00236D58">
            <w:pPr>
              <w:rPr>
                <w:sz w:val="20"/>
                <w:szCs w:val="20"/>
              </w:rPr>
            </w:pPr>
          </w:p>
        </w:tc>
      </w:tr>
      <w:tr w:rsidR="00236D58" w14:paraId="484FF769" w14:textId="77777777" w:rsidTr="00236D58">
        <w:trPr>
          <w:trHeight w:val="300"/>
        </w:trPr>
        <w:tc>
          <w:tcPr>
            <w:tcW w:w="3925" w:type="dxa"/>
            <w:tcBorders>
              <w:top w:val="nil"/>
              <w:left w:val="single" w:sz="4" w:space="0" w:color="auto"/>
              <w:bottom w:val="single" w:sz="4" w:space="0" w:color="auto"/>
              <w:right w:val="nil"/>
            </w:tcBorders>
            <w:hideMark/>
          </w:tcPr>
          <w:p w14:paraId="2770506B" w14:textId="77777777" w:rsidR="00236D58" w:rsidRDefault="00236D58">
            <w:pPr>
              <w:rPr>
                <w:sz w:val="20"/>
                <w:szCs w:val="20"/>
              </w:rPr>
            </w:pPr>
            <w:r>
              <w:rPr>
                <w:sz w:val="20"/>
                <w:szCs w:val="20"/>
              </w:rPr>
              <w:t>Architektūros ir teritorijų planavimo programa</w:t>
            </w:r>
          </w:p>
        </w:tc>
        <w:tc>
          <w:tcPr>
            <w:tcW w:w="1952" w:type="dxa"/>
            <w:tcBorders>
              <w:top w:val="nil"/>
              <w:left w:val="single" w:sz="4" w:space="0" w:color="auto"/>
              <w:bottom w:val="single" w:sz="4" w:space="0" w:color="auto"/>
              <w:right w:val="single" w:sz="4" w:space="0" w:color="auto"/>
            </w:tcBorders>
            <w:noWrap/>
            <w:hideMark/>
          </w:tcPr>
          <w:p w14:paraId="1AC9DDCF" w14:textId="77777777" w:rsidR="00236D58" w:rsidRDefault="00236D58">
            <w:pPr>
              <w:jc w:val="center"/>
              <w:rPr>
                <w:sz w:val="20"/>
                <w:szCs w:val="20"/>
              </w:rPr>
            </w:pPr>
            <w:r>
              <w:rPr>
                <w:sz w:val="20"/>
                <w:szCs w:val="20"/>
              </w:rPr>
              <w:t>278,0</w:t>
            </w:r>
          </w:p>
        </w:tc>
        <w:tc>
          <w:tcPr>
            <w:tcW w:w="1953" w:type="dxa"/>
            <w:tcBorders>
              <w:top w:val="nil"/>
              <w:left w:val="nil"/>
              <w:bottom w:val="single" w:sz="4" w:space="0" w:color="auto"/>
              <w:right w:val="single" w:sz="4" w:space="0" w:color="auto"/>
            </w:tcBorders>
            <w:noWrap/>
            <w:hideMark/>
          </w:tcPr>
          <w:p w14:paraId="4D4F05DF" w14:textId="77777777" w:rsidR="00236D58" w:rsidRDefault="00236D58">
            <w:pPr>
              <w:jc w:val="center"/>
              <w:rPr>
                <w:sz w:val="20"/>
                <w:szCs w:val="20"/>
              </w:rPr>
            </w:pPr>
            <w:r>
              <w:rPr>
                <w:sz w:val="20"/>
                <w:szCs w:val="20"/>
              </w:rPr>
              <w:t>348,3</w:t>
            </w:r>
          </w:p>
        </w:tc>
        <w:tc>
          <w:tcPr>
            <w:tcW w:w="1714" w:type="dxa"/>
            <w:tcBorders>
              <w:top w:val="nil"/>
              <w:left w:val="nil"/>
              <w:bottom w:val="single" w:sz="4" w:space="0" w:color="auto"/>
              <w:right w:val="single" w:sz="4" w:space="0" w:color="auto"/>
            </w:tcBorders>
            <w:noWrap/>
            <w:hideMark/>
          </w:tcPr>
          <w:p w14:paraId="6BA11446" w14:textId="77777777" w:rsidR="00236D58" w:rsidRDefault="00236D58">
            <w:pPr>
              <w:jc w:val="center"/>
              <w:rPr>
                <w:color w:val="000000"/>
                <w:sz w:val="20"/>
                <w:szCs w:val="20"/>
              </w:rPr>
            </w:pPr>
            <w:r>
              <w:rPr>
                <w:color w:val="000000"/>
                <w:sz w:val="20"/>
                <w:szCs w:val="20"/>
              </w:rPr>
              <w:t>70,3</w:t>
            </w:r>
          </w:p>
        </w:tc>
        <w:tc>
          <w:tcPr>
            <w:tcW w:w="36" w:type="dxa"/>
            <w:vAlign w:val="center"/>
            <w:hideMark/>
          </w:tcPr>
          <w:p w14:paraId="1D93C096" w14:textId="77777777" w:rsidR="00236D58" w:rsidRDefault="00236D58">
            <w:pPr>
              <w:rPr>
                <w:sz w:val="20"/>
                <w:szCs w:val="20"/>
              </w:rPr>
            </w:pPr>
          </w:p>
        </w:tc>
      </w:tr>
      <w:tr w:rsidR="00236D58" w14:paraId="030958EE" w14:textId="77777777" w:rsidTr="00236D58">
        <w:trPr>
          <w:trHeight w:val="300"/>
        </w:trPr>
        <w:tc>
          <w:tcPr>
            <w:tcW w:w="3925" w:type="dxa"/>
            <w:tcBorders>
              <w:top w:val="nil"/>
              <w:left w:val="single" w:sz="4" w:space="0" w:color="auto"/>
              <w:bottom w:val="single" w:sz="4" w:space="0" w:color="auto"/>
              <w:right w:val="nil"/>
            </w:tcBorders>
            <w:noWrap/>
            <w:hideMark/>
          </w:tcPr>
          <w:p w14:paraId="3ED34479" w14:textId="77777777" w:rsidR="00236D58" w:rsidRDefault="00236D58">
            <w:pPr>
              <w:jc w:val="right"/>
              <w:rPr>
                <w:b/>
                <w:bCs/>
                <w:sz w:val="20"/>
                <w:szCs w:val="20"/>
              </w:rPr>
            </w:pPr>
            <w:r>
              <w:rPr>
                <w:b/>
                <w:bCs/>
                <w:sz w:val="20"/>
                <w:szCs w:val="20"/>
              </w:rPr>
              <w:t>Iš viso asignavimų:</w:t>
            </w:r>
          </w:p>
        </w:tc>
        <w:tc>
          <w:tcPr>
            <w:tcW w:w="1952" w:type="dxa"/>
            <w:tcBorders>
              <w:top w:val="nil"/>
              <w:left w:val="single" w:sz="4" w:space="0" w:color="auto"/>
              <w:bottom w:val="single" w:sz="4" w:space="0" w:color="auto"/>
              <w:right w:val="single" w:sz="4" w:space="0" w:color="auto"/>
            </w:tcBorders>
            <w:noWrap/>
            <w:hideMark/>
          </w:tcPr>
          <w:p w14:paraId="49F69AD1" w14:textId="77777777" w:rsidR="00236D58" w:rsidRDefault="00236D58">
            <w:pPr>
              <w:jc w:val="center"/>
              <w:rPr>
                <w:b/>
                <w:bCs/>
                <w:sz w:val="20"/>
                <w:szCs w:val="20"/>
              </w:rPr>
            </w:pPr>
            <w:r>
              <w:rPr>
                <w:b/>
                <w:bCs/>
                <w:sz w:val="20"/>
                <w:szCs w:val="20"/>
              </w:rPr>
              <w:t>89 945,6</w:t>
            </w:r>
          </w:p>
        </w:tc>
        <w:tc>
          <w:tcPr>
            <w:tcW w:w="1953" w:type="dxa"/>
            <w:tcBorders>
              <w:top w:val="nil"/>
              <w:left w:val="nil"/>
              <w:bottom w:val="single" w:sz="4" w:space="0" w:color="auto"/>
              <w:right w:val="single" w:sz="4" w:space="0" w:color="auto"/>
            </w:tcBorders>
            <w:noWrap/>
            <w:hideMark/>
          </w:tcPr>
          <w:p w14:paraId="149E1AFF" w14:textId="77777777" w:rsidR="00236D58" w:rsidRDefault="00236D58">
            <w:pPr>
              <w:jc w:val="center"/>
              <w:rPr>
                <w:b/>
                <w:bCs/>
                <w:sz w:val="20"/>
                <w:szCs w:val="20"/>
              </w:rPr>
            </w:pPr>
            <w:r>
              <w:rPr>
                <w:b/>
                <w:bCs/>
                <w:sz w:val="20"/>
                <w:szCs w:val="20"/>
              </w:rPr>
              <w:t>101 100,6</w:t>
            </w:r>
          </w:p>
        </w:tc>
        <w:tc>
          <w:tcPr>
            <w:tcW w:w="1714" w:type="dxa"/>
            <w:tcBorders>
              <w:top w:val="nil"/>
              <w:left w:val="nil"/>
              <w:bottom w:val="single" w:sz="4" w:space="0" w:color="auto"/>
              <w:right w:val="single" w:sz="4" w:space="0" w:color="auto"/>
            </w:tcBorders>
            <w:noWrap/>
            <w:hideMark/>
          </w:tcPr>
          <w:p w14:paraId="107E5EAA" w14:textId="77777777" w:rsidR="00236D58" w:rsidRDefault="00236D58">
            <w:pPr>
              <w:jc w:val="center"/>
              <w:rPr>
                <w:b/>
                <w:bCs/>
                <w:color w:val="000000"/>
                <w:sz w:val="20"/>
                <w:szCs w:val="20"/>
              </w:rPr>
            </w:pPr>
            <w:r>
              <w:rPr>
                <w:b/>
                <w:bCs/>
                <w:color w:val="000000"/>
                <w:sz w:val="20"/>
                <w:szCs w:val="20"/>
              </w:rPr>
              <w:t>11 155,0</w:t>
            </w:r>
          </w:p>
        </w:tc>
        <w:tc>
          <w:tcPr>
            <w:tcW w:w="36" w:type="dxa"/>
            <w:vAlign w:val="center"/>
            <w:hideMark/>
          </w:tcPr>
          <w:p w14:paraId="5B0251CF" w14:textId="77777777" w:rsidR="00236D58" w:rsidRDefault="00236D58">
            <w:pPr>
              <w:rPr>
                <w:sz w:val="20"/>
                <w:szCs w:val="20"/>
              </w:rPr>
            </w:pPr>
          </w:p>
        </w:tc>
      </w:tr>
    </w:tbl>
    <w:p w14:paraId="246E9E43" w14:textId="77777777" w:rsidR="00525F69" w:rsidRDefault="00525F69" w:rsidP="00525F69">
      <w:pPr>
        <w:tabs>
          <w:tab w:val="left" w:pos="851"/>
        </w:tabs>
        <w:ind w:firstLine="851"/>
        <w:jc w:val="both"/>
      </w:pPr>
    </w:p>
    <w:p w14:paraId="7913D1FC" w14:textId="062C2EFE" w:rsidR="00525F69" w:rsidRDefault="00525F69" w:rsidP="000535F5">
      <w:pPr>
        <w:tabs>
          <w:tab w:val="left" w:pos="851"/>
        </w:tabs>
        <w:jc w:val="center"/>
      </w:pPr>
      <w:r>
        <w:t>Savivaldybės 202</w:t>
      </w:r>
      <w:r w:rsidR="00172CDD">
        <w:t>6</w:t>
      </w:r>
      <w:r>
        <w:t xml:space="preserve"> metų asignavimų paskirstymas pagal programas procentais:</w:t>
      </w:r>
    </w:p>
    <w:p w14:paraId="010C695E" w14:textId="677117AF" w:rsidR="00525F69" w:rsidRPr="002A1A6A" w:rsidRDefault="004F3F5E" w:rsidP="00525F69">
      <w:pPr>
        <w:tabs>
          <w:tab w:val="left" w:pos="851"/>
        </w:tabs>
        <w:spacing w:line="276" w:lineRule="auto"/>
        <w:jc w:val="both"/>
      </w:pPr>
      <w:r>
        <w:rPr>
          <w:noProof/>
        </w:rPr>
        <w:drawing>
          <wp:inline distT="0" distB="0" distL="0" distR="0" wp14:anchorId="78A68B42" wp14:editId="0E22E146">
            <wp:extent cx="6000750" cy="3633788"/>
            <wp:effectExtent l="0" t="0" r="0" b="5080"/>
            <wp:docPr id="1720893468" name="Diagrama 1">
              <a:extLst xmlns:a="http://schemas.openxmlformats.org/drawingml/2006/main">
                <a:ext uri="{FF2B5EF4-FFF2-40B4-BE49-F238E27FC236}">
                  <a16:creationId xmlns:a16="http://schemas.microsoft.com/office/drawing/2014/main" id="{1BDAE73D-5AF9-0D78-0984-284A268B5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A2FF2F" w14:textId="34954E21" w:rsidR="002A1A6A" w:rsidRPr="006C484B" w:rsidRDefault="00525F69" w:rsidP="00BE197B">
      <w:pPr>
        <w:ind w:right="-1" w:firstLine="851"/>
        <w:jc w:val="both"/>
        <w:rPr>
          <w:bCs/>
        </w:rPr>
      </w:pPr>
      <w:r w:rsidRPr="006C484B">
        <w:rPr>
          <w:bCs/>
        </w:rPr>
        <w:t xml:space="preserve">Kaip ir kasmet didžiausia biudžeto išlaidų dalis skiriama švietimo reikmėms. Švietimo programai siūloma skirti </w:t>
      </w:r>
      <w:r w:rsidR="006C484B" w:rsidRPr="006C484B">
        <w:rPr>
          <w:bCs/>
        </w:rPr>
        <w:t>40,2</w:t>
      </w:r>
      <w:r w:rsidRPr="006C484B">
        <w:rPr>
          <w:bCs/>
        </w:rPr>
        <w:t xml:space="preserve"> </w:t>
      </w:r>
      <w:r w:rsidR="006C484B" w:rsidRPr="006C484B">
        <w:rPr>
          <w:bCs/>
        </w:rPr>
        <w:t>mln</w:t>
      </w:r>
      <w:r w:rsidRPr="006C484B">
        <w:rPr>
          <w:bCs/>
        </w:rPr>
        <w:t xml:space="preserve">. Eur, tai sudaro </w:t>
      </w:r>
      <w:r w:rsidR="006C484B" w:rsidRPr="006C484B">
        <w:rPr>
          <w:bCs/>
        </w:rPr>
        <w:t>39,7</w:t>
      </w:r>
      <w:r w:rsidRPr="006C484B">
        <w:rPr>
          <w:bCs/>
        </w:rPr>
        <w:t xml:space="preserve"> proc. visų biudžeto išlaidų.</w:t>
      </w:r>
      <w:r w:rsidR="00CE4DE7" w:rsidRPr="006C484B">
        <w:rPr>
          <w:bCs/>
        </w:rPr>
        <w:t xml:space="preserve"> Lėšos suplanuotos 19 Savivaldybės biudžetinių švietimo įstaigų ir VšĮ Pranciškonų gimnazij</w:t>
      </w:r>
      <w:r w:rsidR="00C43E16" w:rsidRPr="006C484B">
        <w:rPr>
          <w:bCs/>
        </w:rPr>
        <w:t>os</w:t>
      </w:r>
      <w:r w:rsidR="00CE4DE7" w:rsidRPr="006C484B">
        <w:rPr>
          <w:bCs/>
        </w:rPr>
        <w:t xml:space="preserve"> darbuotojų darbo užmokesčiui mokėti, šių įstaigų išlaikymui, reikiamų priemonių įsigijimui bei kitiems remonto darbams. </w:t>
      </w:r>
    </w:p>
    <w:p w14:paraId="238F94F1" w14:textId="21A6B0E5" w:rsidR="00BE7945" w:rsidRPr="00BE7945" w:rsidRDefault="00D96E44" w:rsidP="00BE7945">
      <w:pPr>
        <w:ind w:right="-1" w:firstLine="851"/>
        <w:jc w:val="both"/>
        <w:rPr>
          <w:bCs/>
        </w:rPr>
      </w:pPr>
      <w:r w:rsidRPr="00BE7945">
        <w:rPr>
          <w:bCs/>
        </w:rPr>
        <w:t xml:space="preserve">Antroji pagal dydį – </w:t>
      </w:r>
      <w:r w:rsidR="00BE7945" w:rsidRPr="00BE7945">
        <w:rPr>
          <w:bCs/>
        </w:rPr>
        <w:t>Strateginio planavimo ir investicijų programa, kuriai asignavimai numatyti tęstiniams ir naujiems projektams vykdyti bei kitoms priemonėms. Programai įgyvendinti numatyta 13,8 mln. Eur arba 13,6 proc. biudžeto išlaidų.</w:t>
      </w:r>
    </w:p>
    <w:p w14:paraId="48A2B8FC" w14:textId="2D4FD76B" w:rsidR="00BE7945" w:rsidRPr="00BE7945" w:rsidRDefault="00BE7945" w:rsidP="00BE7945">
      <w:pPr>
        <w:ind w:right="-1" w:firstLine="851"/>
        <w:jc w:val="both"/>
      </w:pPr>
      <w:r w:rsidRPr="00BE7945">
        <w:rPr>
          <w:bCs/>
        </w:rPr>
        <w:t xml:space="preserve">Vietinio ūkio ir turto valdymo programai numatyta 12,5 mln. Eur arba 12,4 proc. biudžeto išlaidų. </w:t>
      </w:r>
      <w:r w:rsidRPr="00BE7945">
        <w:t>Įgyvendinant Vietinio ūkio ir turto valdymo programą siekiama gerinti komunalinių paslaugų kokybę, kelių ir gatvių dangas, padidinti eismo saugumą, atnaujinti kelio ženklus, atlikti Savivaldybei priklausančio nekilnojamo turto vertinimą, inventorizavimą, registravimą ir kitas, su turtu susijusias, veiklas.</w:t>
      </w:r>
    </w:p>
    <w:p w14:paraId="7491CD55" w14:textId="24CB033E" w:rsidR="00D96E44" w:rsidRDefault="00CB319F" w:rsidP="00BE197B">
      <w:pPr>
        <w:ind w:right="-1" w:firstLine="851"/>
        <w:jc w:val="both"/>
        <w:rPr>
          <w:bCs/>
        </w:rPr>
      </w:pPr>
      <w:r w:rsidRPr="00BE7945">
        <w:rPr>
          <w:bCs/>
        </w:rPr>
        <w:t>Socialinės paramos programa</w:t>
      </w:r>
      <w:r w:rsidR="00BE7945" w:rsidRPr="00BE7945">
        <w:rPr>
          <w:bCs/>
        </w:rPr>
        <w:t>i</w:t>
      </w:r>
      <w:r w:rsidRPr="00BE7945">
        <w:rPr>
          <w:bCs/>
        </w:rPr>
        <w:t xml:space="preserve"> įgyvendinti skiriama </w:t>
      </w:r>
      <w:r w:rsidR="00BE7945" w:rsidRPr="00BE7945">
        <w:rPr>
          <w:bCs/>
        </w:rPr>
        <w:t>10,6 mln</w:t>
      </w:r>
      <w:r w:rsidRPr="00BE7945">
        <w:rPr>
          <w:bCs/>
        </w:rPr>
        <w:t xml:space="preserve">. Eur arba </w:t>
      </w:r>
      <w:r w:rsidR="00BE7945" w:rsidRPr="00BE7945">
        <w:rPr>
          <w:bCs/>
        </w:rPr>
        <w:t>10,5</w:t>
      </w:r>
      <w:r w:rsidRPr="00BE7945">
        <w:rPr>
          <w:bCs/>
        </w:rPr>
        <w:t xml:space="preserve"> proc. biudžeto išlaidų</w:t>
      </w:r>
      <w:r w:rsidR="00857CC4" w:rsidRPr="00BE7945">
        <w:rPr>
          <w:bCs/>
        </w:rPr>
        <w:t>, kurie suplanuoti Kretingos socialinių paslaugų centro ir Dienos veiklos centro darbuotojų darbo užmokesčiui mokėti bei</w:t>
      </w:r>
      <w:r w:rsidR="000535F5">
        <w:rPr>
          <w:bCs/>
        </w:rPr>
        <w:t xml:space="preserve"> šių</w:t>
      </w:r>
      <w:r w:rsidR="00857CC4" w:rsidRPr="00BE7945">
        <w:rPr>
          <w:bCs/>
        </w:rPr>
        <w:t xml:space="preserve"> įstaigų išlaikymui, taip pat įgyvendinti Lietuvos Respublikos įstatymų ir kitų norminių teisės aktų nustatytą socialinę politiką, teikiant piniginę socialinę paramą Kretingos rajono gyventojams, užtikrinant asmenų su negalia integraciją, organizuoti bei teikti kokybiškas socialines paslaugas įvairioms miesto gyventojų socialinėms grupėms ir didinti gyventojų užimtumą.</w:t>
      </w:r>
    </w:p>
    <w:p w14:paraId="3A4D02FE" w14:textId="5E897982" w:rsidR="00B43725" w:rsidRPr="00B43725" w:rsidRDefault="00B43725" w:rsidP="00B43725">
      <w:pPr>
        <w:ind w:right="-1"/>
        <w:jc w:val="center"/>
        <w:rPr>
          <w:bCs/>
        </w:rPr>
      </w:pPr>
      <w:r w:rsidRPr="00B43725">
        <w:rPr>
          <w:b/>
          <w:bCs/>
        </w:rPr>
        <w:t>PAGRINDINIAI BIUDŽETO IŠLAIDŲ AKCENTAI</w:t>
      </w:r>
    </w:p>
    <w:p w14:paraId="377897AD" w14:textId="77777777" w:rsidR="00B43725" w:rsidRPr="00B43725" w:rsidRDefault="00B43725" w:rsidP="00B43725">
      <w:pPr>
        <w:ind w:right="-1" w:firstLine="851"/>
        <w:jc w:val="both"/>
        <w:rPr>
          <w:bCs/>
        </w:rPr>
      </w:pPr>
      <w:r w:rsidRPr="00B43725">
        <w:rPr>
          <w:b/>
          <w:bCs/>
          <w:i/>
          <w:iCs/>
        </w:rPr>
        <w:t>Bendrai infrastruktūrai gerinti</w:t>
      </w:r>
    </w:p>
    <w:p w14:paraId="285F93AD" w14:textId="77777777" w:rsidR="00B43725" w:rsidRPr="00B43725" w:rsidRDefault="00B43725" w:rsidP="00B43725">
      <w:pPr>
        <w:ind w:right="-1" w:firstLine="851"/>
        <w:jc w:val="both"/>
        <w:rPr>
          <w:bCs/>
        </w:rPr>
      </w:pPr>
      <w:r w:rsidRPr="00B43725">
        <w:rPr>
          <w:bCs/>
        </w:rPr>
        <w:t>7,4 mln. eurų – vietinės reikšmės kelių, gatvių, tiltų, daugiabučių kiemų rekonstrukcijai, jų remontui, pėsčiųjų ir dviračių takų remontui</w:t>
      </w:r>
    </w:p>
    <w:p w14:paraId="75B126CA" w14:textId="77777777" w:rsidR="00B43725" w:rsidRPr="00B43725" w:rsidRDefault="00B43725" w:rsidP="00B43725">
      <w:pPr>
        <w:ind w:right="-1" w:firstLine="851"/>
        <w:jc w:val="both"/>
        <w:rPr>
          <w:bCs/>
        </w:rPr>
      </w:pPr>
      <w:r w:rsidRPr="00B43725">
        <w:rPr>
          <w:bCs/>
        </w:rPr>
        <w:t>2,4 mln. eurų – vandens tiekimo ir nuotekų tvarkymo infrastruktūrai rekonstruoti ir jos plėtrai</w:t>
      </w:r>
    </w:p>
    <w:p w14:paraId="282A1682" w14:textId="77777777" w:rsidR="00B43725" w:rsidRPr="00B43725" w:rsidRDefault="00B43725" w:rsidP="00B43725">
      <w:pPr>
        <w:ind w:right="-1" w:firstLine="851"/>
        <w:jc w:val="both"/>
        <w:rPr>
          <w:bCs/>
        </w:rPr>
      </w:pPr>
      <w:r w:rsidRPr="00B43725">
        <w:rPr>
          <w:bCs/>
        </w:rPr>
        <w:t>250 tūkst. eurų – apšvietimo modernizavimui ir plėtrai</w:t>
      </w:r>
    </w:p>
    <w:p w14:paraId="71AE4E44" w14:textId="77777777" w:rsidR="00B43725" w:rsidRPr="00B43725" w:rsidRDefault="00B43725" w:rsidP="00B43725">
      <w:pPr>
        <w:ind w:right="-1" w:firstLine="851"/>
        <w:jc w:val="both"/>
        <w:rPr>
          <w:bCs/>
        </w:rPr>
      </w:pPr>
      <w:r w:rsidRPr="00B43725">
        <w:rPr>
          <w:bCs/>
        </w:rPr>
        <w:t>220 tūkst. eurų – seniūnijų infrastruktūrai gerinti</w:t>
      </w:r>
    </w:p>
    <w:p w14:paraId="46FD8D20" w14:textId="77777777" w:rsidR="00B43725" w:rsidRPr="00B43725" w:rsidRDefault="00B43725" w:rsidP="00B43725">
      <w:pPr>
        <w:ind w:right="-1" w:firstLine="851"/>
        <w:jc w:val="both"/>
        <w:rPr>
          <w:bCs/>
        </w:rPr>
      </w:pPr>
      <w:r w:rsidRPr="00B43725">
        <w:rPr>
          <w:bCs/>
        </w:rPr>
        <w:t xml:space="preserve">190 tūkst. eurų – </w:t>
      </w:r>
      <w:proofErr w:type="spellStart"/>
      <w:r w:rsidRPr="00B43725">
        <w:rPr>
          <w:bCs/>
        </w:rPr>
        <w:t>Petrikaičių</w:t>
      </w:r>
      <w:proofErr w:type="spellEnd"/>
      <w:r w:rsidRPr="00B43725">
        <w:rPr>
          <w:bCs/>
        </w:rPr>
        <w:t xml:space="preserve"> kapinių plėtrai ir naujiems </w:t>
      </w:r>
      <w:proofErr w:type="spellStart"/>
      <w:r w:rsidRPr="00B43725">
        <w:rPr>
          <w:bCs/>
        </w:rPr>
        <w:t>kolumbariumams</w:t>
      </w:r>
      <w:proofErr w:type="spellEnd"/>
      <w:r w:rsidRPr="00B43725">
        <w:rPr>
          <w:bCs/>
        </w:rPr>
        <w:t> įrengti</w:t>
      </w:r>
    </w:p>
    <w:p w14:paraId="081BD95F" w14:textId="77777777" w:rsidR="00B43725" w:rsidRPr="00B43725" w:rsidRDefault="00B43725" w:rsidP="00B43725">
      <w:pPr>
        <w:ind w:right="-1" w:firstLine="851"/>
        <w:jc w:val="both"/>
        <w:rPr>
          <w:bCs/>
        </w:rPr>
      </w:pPr>
      <w:r w:rsidRPr="00B43725">
        <w:rPr>
          <w:bCs/>
        </w:rPr>
        <w:t>323,5 tūkst. eurų – Gyventojų iniciatyvų projektui įgyvendinti</w:t>
      </w:r>
    </w:p>
    <w:p w14:paraId="2F6ED5B3" w14:textId="77777777" w:rsidR="00B43725" w:rsidRPr="00B43725" w:rsidRDefault="00B43725" w:rsidP="00B43725">
      <w:pPr>
        <w:ind w:right="-1" w:firstLine="851"/>
        <w:jc w:val="both"/>
        <w:rPr>
          <w:bCs/>
        </w:rPr>
      </w:pPr>
      <w:r w:rsidRPr="00B43725">
        <w:rPr>
          <w:bCs/>
        </w:rPr>
        <w:t>200 tūkst. eurų – sodininkų bendrijoms remti</w:t>
      </w:r>
    </w:p>
    <w:p w14:paraId="4A08F2BE" w14:textId="77777777" w:rsidR="00B43725" w:rsidRPr="00B43725" w:rsidRDefault="00B43725" w:rsidP="00B43725">
      <w:pPr>
        <w:ind w:right="-1" w:firstLine="851"/>
        <w:jc w:val="both"/>
        <w:rPr>
          <w:bCs/>
        </w:rPr>
      </w:pPr>
      <w:r w:rsidRPr="00B43725">
        <w:rPr>
          <w:bCs/>
        </w:rPr>
        <w:t>1,04 mln. eurų – melioracijos sistemoms rekonstruoti ir įrenginių priežiūrai</w:t>
      </w:r>
    </w:p>
    <w:p w14:paraId="54553E23" w14:textId="77777777" w:rsidR="00B43725" w:rsidRPr="00B43725" w:rsidRDefault="00B43725" w:rsidP="00B43725">
      <w:pPr>
        <w:ind w:right="-1" w:firstLine="851"/>
        <w:jc w:val="both"/>
        <w:rPr>
          <w:bCs/>
        </w:rPr>
      </w:pPr>
      <w:r w:rsidRPr="00B43725">
        <w:rPr>
          <w:bCs/>
        </w:rPr>
        <w:t>500 tūkst. eurų – administraciniams pastatams modernizuoti</w:t>
      </w:r>
    </w:p>
    <w:p w14:paraId="653D99C2" w14:textId="77777777" w:rsidR="00B43725" w:rsidRPr="00B43725" w:rsidRDefault="00B43725" w:rsidP="00B43725">
      <w:pPr>
        <w:ind w:right="-1" w:firstLine="851"/>
        <w:jc w:val="both"/>
        <w:rPr>
          <w:bCs/>
        </w:rPr>
      </w:pPr>
      <w:r w:rsidRPr="00B43725">
        <w:rPr>
          <w:bCs/>
        </w:rPr>
        <w:t>130 tūkst. eurų – naujoms vaikų žaidimų ir sporto infrastruktūros aikštelėms įrengti ir esamų aikštelių priežiūrai, remontui</w:t>
      </w:r>
    </w:p>
    <w:p w14:paraId="0740878A" w14:textId="77777777" w:rsidR="00B43725" w:rsidRPr="00B43725" w:rsidRDefault="00B43725" w:rsidP="00B43725">
      <w:pPr>
        <w:ind w:right="-1" w:firstLine="851"/>
        <w:jc w:val="both"/>
        <w:rPr>
          <w:bCs/>
        </w:rPr>
      </w:pPr>
      <w:r w:rsidRPr="00B43725">
        <w:rPr>
          <w:bCs/>
        </w:rPr>
        <w:t>190 tūkst. eurų – priedangų infrastruktūros plėtrai</w:t>
      </w:r>
    </w:p>
    <w:p w14:paraId="519C675D" w14:textId="77777777" w:rsidR="00B43725" w:rsidRPr="00B43725" w:rsidRDefault="00B43725" w:rsidP="00B43725">
      <w:pPr>
        <w:ind w:right="-1" w:firstLine="851"/>
        <w:jc w:val="both"/>
        <w:rPr>
          <w:bCs/>
        </w:rPr>
      </w:pPr>
      <w:r w:rsidRPr="00B43725">
        <w:rPr>
          <w:b/>
          <w:bCs/>
          <w:i/>
          <w:iCs/>
        </w:rPr>
        <w:t>Švietimui</w:t>
      </w:r>
    </w:p>
    <w:p w14:paraId="78363765" w14:textId="77777777" w:rsidR="00B43725" w:rsidRPr="00B43725" w:rsidRDefault="00B43725" w:rsidP="00B43725">
      <w:pPr>
        <w:ind w:right="-1" w:firstLine="851"/>
        <w:jc w:val="both"/>
        <w:rPr>
          <w:bCs/>
        </w:rPr>
      </w:pPr>
      <w:r w:rsidRPr="00B43725">
        <w:rPr>
          <w:bCs/>
        </w:rPr>
        <w:t>2,5 mln. eurų – Kretingos lopšelio-darželio „Pasaka“ ikimokyklinio ugdymo skyriaus „Eglutė“ pastatui rekonstruoti ir naujo priestato statybai</w:t>
      </w:r>
    </w:p>
    <w:p w14:paraId="52F80B03" w14:textId="77777777" w:rsidR="00B43725" w:rsidRPr="00B43725" w:rsidRDefault="00B43725" w:rsidP="00B43725">
      <w:pPr>
        <w:ind w:right="-1" w:firstLine="851"/>
        <w:jc w:val="both"/>
        <w:rPr>
          <w:bCs/>
        </w:rPr>
      </w:pPr>
      <w:r w:rsidRPr="00B43725">
        <w:rPr>
          <w:bCs/>
        </w:rPr>
        <w:t>150 tūkst. eurų – Kretingos lopšelio-darželio „Žilvitis“ pastato ir aplinkos tvarkymo projektui parengti</w:t>
      </w:r>
    </w:p>
    <w:p w14:paraId="10CB4C88" w14:textId="77777777" w:rsidR="00B43725" w:rsidRPr="00B43725" w:rsidRDefault="00B43725" w:rsidP="00B43725">
      <w:pPr>
        <w:ind w:right="-1" w:firstLine="851"/>
        <w:jc w:val="both"/>
        <w:rPr>
          <w:bCs/>
        </w:rPr>
      </w:pPr>
      <w:r w:rsidRPr="00B43725">
        <w:rPr>
          <w:bCs/>
        </w:rPr>
        <w:t>258 tūkst. eurų – Tūkstantmečio mokyklų programai įgyvendinti</w:t>
      </w:r>
    </w:p>
    <w:p w14:paraId="6243BA19" w14:textId="77777777" w:rsidR="00B43725" w:rsidRPr="00B43725" w:rsidRDefault="00B43725" w:rsidP="00B43725">
      <w:pPr>
        <w:ind w:right="-1" w:firstLine="851"/>
        <w:jc w:val="both"/>
        <w:rPr>
          <w:bCs/>
        </w:rPr>
      </w:pPr>
      <w:r w:rsidRPr="00B43725">
        <w:rPr>
          <w:bCs/>
        </w:rPr>
        <w:t>1,24 mln. eurų – Salantų ir Vydmantų gimnazijų sporto aikštynams rekonstruoti</w:t>
      </w:r>
    </w:p>
    <w:p w14:paraId="5B472FDD" w14:textId="658AA424" w:rsidR="00B43725" w:rsidRPr="00B43725" w:rsidRDefault="00B43725" w:rsidP="00B43725">
      <w:pPr>
        <w:ind w:right="-1" w:firstLine="851"/>
        <w:jc w:val="both"/>
        <w:rPr>
          <w:bCs/>
        </w:rPr>
      </w:pPr>
      <w:r w:rsidRPr="00B43725">
        <w:rPr>
          <w:bCs/>
        </w:rPr>
        <w:t>6</w:t>
      </w:r>
      <w:r>
        <w:rPr>
          <w:bCs/>
        </w:rPr>
        <w:t>83</w:t>
      </w:r>
      <w:r w:rsidRPr="00B43725">
        <w:rPr>
          <w:bCs/>
        </w:rPr>
        <w:t xml:space="preserve"> tūkst. eurų – švietimo įstaigų virtuvės įrangai įsigyti, jų remontui, naujoms IT priemonėms ir mokykliniams autobusams įsigyti</w:t>
      </w:r>
    </w:p>
    <w:p w14:paraId="550428DF" w14:textId="77777777" w:rsidR="00B43725" w:rsidRPr="00B43725" w:rsidRDefault="00B43725" w:rsidP="00B43725">
      <w:pPr>
        <w:ind w:right="-1" w:firstLine="851"/>
        <w:jc w:val="both"/>
        <w:rPr>
          <w:bCs/>
        </w:rPr>
      </w:pPr>
      <w:r w:rsidRPr="00B43725">
        <w:rPr>
          <w:bCs/>
        </w:rPr>
        <w:t>100 tūkst. eurų – pedagogams remti</w:t>
      </w:r>
    </w:p>
    <w:p w14:paraId="1BA0C8F5" w14:textId="186EC1FA" w:rsidR="00B43725" w:rsidRPr="00B43725" w:rsidRDefault="00B43725" w:rsidP="00B43725">
      <w:pPr>
        <w:ind w:right="-1" w:firstLine="851"/>
        <w:jc w:val="both"/>
        <w:rPr>
          <w:bCs/>
        </w:rPr>
      </w:pPr>
      <w:r w:rsidRPr="00B43725">
        <w:rPr>
          <w:bCs/>
        </w:rPr>
        <w:t>1,1 mln. eurų – visos dienos mokyklos paslaugų prieinamumui didinti</w:t>
      </w:r>
    </w:p>
    <w:p w14:paraId="024A1F99" w14:textId="77777777" w:rsidR="00B43725" w:rsidRPr="00B43725" w:rsidRDefault="00B43725" w:rsidP="00B43725">
      <w:pPr>
        <w:ind w:right="-1" w:firstLine="851"/>
        <w:jc w:val="both"/>
        <w:rPr>
          <w:bCs/>
        </w:rPr>
      </w:pPr>
      <w:r w:rsidRPr="00B43725">
        <w:rPr>
          <w:b/>
          <w:bCs/>
          <w:i/>
          <w:iCs/>
        </w:rPr>
        <w:t>Sveikatos apsaugai ir socialinei paramai</w:t>
      </w:r>
    </w:p>
    <w:p w14:paraId="70AAD3B9" w14:textId="77777777" w:rsidR="00B43725" w:rsidRPr="00B43725" w:rsidRDefault="00B43725" w:rsidP="00B43725">
      <w:pPr>
        <w:ind w:right="-1" w:firstLine="851"/>
        <w:jc w:val="both"/>
        <w:rPr>
          <w:bCs/>
        </w:rPr>
      </w:pPr>
      <w:r w:rsidRPr="00B43725">
        <w:rPr>
          <w:bCs/>
        </w:rPr>
        <w:t>1,05 mln. eurų – naujo socialinio būsto (daugiabučio) statybos darbams</w:t>
      </w:r>
    </w:p>
    <w:p w14:paraId="64894151" w14:textId="77777777" w:rsidR="00B43725" w:rsidRPr="00B43725" w:rsidRDefault="00B43725" w:rsidP="00B43725">
      <w:pPr>
        <w:ind w:right="-1" w:firstLine="851"/>
        <w:jc w:val="both"/>
        <w:rPr>
          <w:bCs/>
        </w:rPr>
      </w:pPr>
      <w:r w:rsidRPr="00B43725">
        <w:rPr>
          <w:bCs/>
        </w:rPr>
        <w:t>819,8 tūkst. eurų – socialinių paslaugų infrastruktūrai modernizuoti ir jos plėtrai</w:t>
      </w:r>
    </w:p>
    <w:p w14:paraId="009B9A92" w14:textId="41B04027" w:rsidR="00B43725" w:rsidRPr="00B43725" w:rsidRDefault="000535F5" w:rsidP="00B43725">
      <w:pPr>
        <w:ind w:right="-1" w:firstLine="851"/>
        <w:jc w:val="both"/>
        <w:rPr>
          <w:bCs/>
        </w:rPr>
      </w:pPr>
      <w:r w:rsidRPr="000535F5">
        <w:rPr>
          <w:bCs/>
        </w:rPr>
        <w:t>6</w:t>
      </w:r>
      <w:r w:rsidR="00B43725" w:rsidRPr="00B43725">
        <w:rPr>
          <w:bCs/>
        </w:rPr>
        <w:t xml:space="preserve"> mln. eurų – įvairioms socialinėms išmokoms</w:t>
      </w:r>
    </w:p>
    <w:p w14:paraId="6C8573DB" w14:textId="77777777" w:rsidR="00B43725" w:rsidRPr="00B43725" w:rsidRDefault="00B43725" w:rsidP="00B43725">
      <w:pPr>
        <w:ind w:right="-1" w:firstLine="851"/>
        <w:jc w:val="both"/>
        <w:rPr>
          <w:bCs/>
        </w:rPr>
      </w:pPr>
      <w:r w:rsidRPr="00B43725">
        <w:rPr>
          <w:bCs/>
        </w:rPr>
        <w:t>50 tūkst. eurų – sveikatos įstaigoms įrangai įsigyti</w:t>
      </w:r>
    </w:p>
    <w:p w14:paraId="56BA87D4" w14:textId="77777777" w:rsidR="00B43725" w:rsidRPr="00B43725" w:rsidRDefault="00B43725" w:rsidP="00B43725">
      <w:pPr>
        <w:ind w:right="-1" w:firstLine="851"/>
        <w:jc w:val="both"/>
        <w:rPr>
          <w:bCs/>
        </w:rPr>
      </w:pPr>
      <w:r w:rsidRPr="00B43725">
        <w:rPr>
          <w:bCs/>
        </w:rPr>
        <w:t>1,2 mln. eurų – sveikatos priežiūros paslaugų kokybei gerinti ir jų plėtrai</w:t>
      </w:r>
    </w:p>
    <w:p w14:paraId="4CF9AB5A" w14:textId="77777777" w:rsidR="00B43725" w:rsidRPr="00B43725" w:rsidRDefault="00B43725" w:rsidP="00B43725">
      <w:pPr>
        <w:ind w:right="-1" w:firstLine="851"/>
        <w:jc w:val="both"/>
        <w:rPr>
          <w:bCs/>
        </w:rPr>
      </w:pPr>
      <w:r w:rsidRPr="00B43725">
        <w:rPr>
          <w:bCs/>
        </w:rPr>
        <w:t>360,3 tūkst. eurų – trūkstamiems sveikatos specialistams rengti ir pritraukti</w:t>
      </w:r>
    </w:p>
    <w:p w14:paraId="212F85A5" w14:textId="77777777" w:rsidR="00B43725" w:rsidRPr="00B43725" w:rsidRDefault="00B43725" w:rsidP="00B43725">
      <w:pPr>
        <w:ind w:right="-1" w:firstLine="851"/>
        <w:jc w:val="both"/>
        <w:rPr>
          <w:bCs/>
        </w:rPr>
      </w:pPr>
      <w:r w:rsidRPr="00B43725">
        <w:rPr>
          <w:bCs/>
        </w:rPr>
        <w:t>385,4 tūkst. eurų – visuomenės sveikatai gerinti ir mokinių sveikatos priežiūrai</w:t>
      </w:r>
    </w:p>
    <w:p w14:paraId="3726DEA3" w14:textId="77777777" w:rsidR="00B43725" w:rsidRPr="00B43725" w:rsidRDefault="00B43725" w:rsidP="00B43725">
      <w:pPr>
        <w:ind w:right="-1" w:firstLine="851"/>
        <w:jc w:val="both"/>
        <w:rPr>
          <w:bCs/>
        </w:rPr>
      </w:pPr>
      <w:r w:rsidRPr="00B43725">
        <w:rPr>
          <w:bCs/>
        </w:rPr>
        <w:t>104,3 tūkst. eurų – visuomenės psichikos sveikatos paslaugų prieinamumui didinti, savižudybių prevencijai ir kompleksinei pagalbai teikti</w:t>
      </w:r>
    </w:p>
    <w:p w14:paraId="6937E8EE" w14:textId="77777777" w:rsidR="00B43725" w:rsidRPr="00B43725" w:rsidRDefault="00B43725" w:rsidP="00B43725">
      <w:pPr>
        <w:ind w:right="-1" w:firstLine="851"/>
        <w:jc w:val="both"/>
        <w:rPr>
          <w:bCs/>
        </w:rPr>
      </w:pPr>
      <w:r w:rsidRPr="00B43725">
        <w:rPr>
          <w:b/>
          <w:bCs/>
          <w:i/>
          <w:iCs/>
        </w:rPr>
        <w:t>Kultūrai, sportui ir rekreacijai</w:t>
      </w:r>
    </w:p>
    <w:p w14:paraId="20EFEADF" w14:textId="77777777" w:rsidR="00B43725" w:rsidRPr="00B43725" w:rsidRDefault="00B43725" w:rsidP="00B43725">
      <w:pPr>
        <w:ind w:right="-1" w:firstLine="851"/>
        <w:jc w:val="both"/>
        <w:rPr>
          <w:bCs/>
        </w:rPr>
      </w:pPr>
      <w:r w:rsidRPr="00B43725">
        <w:rPr>
          <w:bCs/>
        </w:rPr>
        <w:t>120 tūkst. eurų – kalnų dviračių parkui įrengti</w:t>
      </w:r>
    </w:p>
    <w:p w14:paraId="2F1242E2" w14:textId="77777777" w:rsidR="00B43725" w:rsidRPr="00B43725" w:rsidRDefault="00B43725" w:rsidP="00B43725">
      <w:pPr>
        <w:ind w:right="-1" w:firstLine="851"/>
        <w:jc w:val="both"/>
        <w:rPr>
          <w:bCs/>
        </w:rPr>
      </w:pPr>
      <w:r w:rsidRPr="00B43725">
        <w:rPr>
          <w:bCs/>
        </w:rPr>
        <w:t>595,1 tūkst. eurų – Kretingos dvaro parko apšvietimo darbams ir Akmenos upės krantinėms tvarkyti</w:t>
      </w:r>
    </w:p>
    <w:p w14:paraId="6A9C91B8" w14:textId="77777777" w:rsidR="00B43725" w:rsidRPr="00B43725" w:rsidRDefault="00B43725" w:rsidP="00B43725">
      <w:pPr>
        <w:ind w:right="-1" w:firstLine="851"/>
        <w:jc w:val="both"/>
        <w:rPr>
          <w:bCs/>
        </w:rPr>
      </w:pPr>
      <w:r w:rsidRPr="00B43725">
        <w:rPr>
          <w:bCs/>
        </w:rPr>
        <w:t>235 tūkst. eurų – motobolo sporto bazės infrastruktūrai atnaujinti</w:t>
      </w:r>
    </w:p>
    <w:p w14:paraId="138F33D6" w14:textId="77777777" w:rsidR="00B43725" w:rsidRPr="00B43725" w:rsidRDefault="00B43725" w:rsidP="00B43725">
      <w:pPr>
        <w:ind w:right="-1" w:firstLine="851"/>
        <w:jc w:val="both"/>
        <w:rPr>
          <w:bCs/>
        </w:rPr>
      </w:pPr>
      <w:r w:rsidRPr="00B43725">
        <w:rPr>
          <w:bCs/>
        </w:rPr>
        <w:t>150 tūkst. eurų – kultūros įstaigų remontui ir naujai įrangai įsigyti</w:t>
      </w:r>
    </w:p>
    <w:p w14:paraId="77C4531C" w14:textId="77777777" w:rsidR="00B43725" w:rsidRPr="00B43725" w:rsidRDefault="00B43725" w:rsidP="00B43725">
      <w:pPr>
        <w:ind w:right="-1" w:firstLine="851"/>
        <w:jc w:val="both"/>
        <w:rPr>
          <w:bCs/>
        </w:rPr>
      </w:pPr>
      <w:r w:rsidRPr="00B43725">
        <w:rPr>
          <w:bCs/>
        </w:rPr>
        <w:t>58 tūkst. eurų – kultūros paveldo objektams prižiūrėti</w:t>
      </w:r>
    </w:p>
    <w:p w14:paraId="41B5461E" w14:textId="77777777" w:rsidR="00B43725" w:rsidRPr="00B43725" w:rsidRDefault="00B43725" w:rsidP="00B43725">
      <w:pPr>
        <w:ind w:right="-1" w:firstLine="851"/>
        <w:jc w:val="both"/>
        <w:rPr>
          <w:bCs/>
        </w:rPr>
      </w:pPr>
      <w:r w:rsidRPr="00B43725">
        <w:rPr>
          <w:bCs/>
        </w:rPr>
        <w:t>300 tūkst. eurų – sporto klubų veiklai finansuoti</w:t>
      </w:r>
    </w:p>
    <w:p w14:paraId="624FCAEF" w14:textId="77777777" w:rsidR="00B43725" w:rsidRPr="00B43725" w:rsidRDefault="00B43725" w:rsidP="00B43725">
      <w:pPr>
        <w:ind w:right="-1" w:firstLine="851"/>
        <w:jc w:val="both"/>
        <w:rPr>
          <w:bCs/>
        </w:rPr>
      </w:pPr>
      <w:r w:rsidRPr="00B43725">
        <w:rPr>
          <w:bCs/>
        </w:rPr>
        <w:t>110 tūkst. eurų – turizmo paslaugų plėtrai ir Kretingos rajono gyventojo kortelei įdiegti</w:t>
      </w:r>
    </w:p>
    <w:p w14:paraId="2A290B17" w14:textId="77777777" w:rsidR="00B43725" w:rsidRPr="00B43725" w:rsidRDefault="00B43725" w:rsidP="00B43725">
      <w:pPr>
        <w:ind w:right="-1" w:firstLine="851"/>
        <w:jc w:val="both"/>
        <w:rPr>
          <w:bCs/>
        </w:rPr>
      </w:pPr>
      <w:r w:rsidRPr="00B43725">
        <w:rPr>
          <w:b/>
          <w:bCs/>
          <w:i/>
          <w:iCs/>
        </w:rPr>
        <w:t>Kitoms sritims</w:t>
      </w:r>
    </w:p>
    <w:p w14:paraId="039B4A26" w14:textId="77777777" w:rsidR="00B43725" w:rsidRPr="00B43725" w:rsidRDefault="00B43725" w:rsidP="00B43725">
      <w:pPr>
        <w:ind w:right="-1" w:firstLine="851"/>
        <w:jc w:val="both"/>
        <w:rPr>
          <w:bCs/>
        </w:rPr>
      </w:pPr>
      <w:r w:rsidRPr="00B43725">
        <w:rPr>
          <w:bCs/>
        </w:rPr>
        <w:t>206 tūkst. eurų – jaunimo, bendruomenių ir kitų nevyriausybinių organizacijų projektams finansuoti</w:t>
      </w:r>
    </w:p>
    <w:p w14:paraId="777850A5" w14:textId="77777777" w:rsidR="00B43725" w:rsidRPr="00B43725" w:rsidRDefault="00B43725" w:rsidP="00B43725">
      <w:pPr>
        <w:ind w:right="-1" w:firstLine="851"/>
        <w:jc w:val="both"/>
        <w:rPr>
          <w:bCs/>
        </w:rPr>
      </w:pPr>
      <w:r w:rsidRPr="00B43725">
        <w:rPr>
          <w:bCs/>
        </w:rPr>
        <w:t>60,3 tūkst. eurų – paramai verslui ir verslo plėtros sąlygoms gerinti</w:t>
      </w:r>
    </w:p>
    <w:p w14:paraId="5DBAB6A9" w14:textId="77777777" w:rsidR="00B43725" w:rsidRPr="00B43725" w:rsidRDefault="00B43725" w:rsidP="00B43725">
      <w:pPr>
        <w:ind w:right="-1" w:firstLine="851"/>
        <w:jc w:val="both"/>
        <w:rPr>
          <w:bCs/>
        </w:rPr>
      </w:pPr>
      <w:r w:rsidRPr="00B43725">
        <w:rPr>
          <w:bCs/>
        </w:rPr>
        <w:t>25 tūkst. eurų – trūkstamiems policijos pareigūnams pritraukti</w:t>
      </w:r>
    </w:p>
    <w:p w14:paraId="5EFE60D0" w14:textId="77777777" w:rsidR="00B43725" w:rsidRPr="00B43725" w:rsidRDefault="00B43725" w:rsidP="00B43725">
      <w:pPr>
        <w:ind w:right="-1" w:firstLine="851"/>
        <w:jc w:val="both"/>
        <w:rPr>
          <w:bCs/>
        </w:rPr>
      </w:pPr>
      <w:r w:rsidRPr="00B43725">
        <w:rPr>
          <w:bCs/>
        </w:rPr>
        <w:t>100 tūkst. eurų – bažnyčioms remti</w:t>
      </w:r>
    </w:p>
    <w:p w14:paraId="5FD4E939" w14:textId="77777777" w:rsidR="00B43725" w:rsidRPr="00B43725" w:rsidRDefault="00B43725" w:rsidP="00B43725">
      <w:pPr>
        <w:ind w:right="-1" w:firstLine="851"/>
        <w:jc w:val="both"/>
        <w:rPr>
          <w:bCs/>
        </w:rPr>
      </w:pPr>
      <w:r w:rsidRPr="00B43725">
        <w:rPr>
          <w:b/>
          <w:bCs/>
          <w:i/>
          <w:iCs/>
        </w:rPr>
        <w:t>Savivaldybės skolinių įsipareigojimų vykdymui</w:t>
      </w:r>
    </w:p>
    <w:p w14:paraId="06040B80" w14:textId="77777777" w:rsidR="00B43725" w:rsidRPr="00B43725" w:rsidRDefault="00B43725" w:rsidP="00B43725">
      <w:pPr>
        <w:ind w:right="-1" w:firstLine="851"/>
        <w:jc w:val="both"/>
        <w:rPr>
          <w:bCs/>
        </w:rPr>
      </w:pPr>
      <w:r w:rsidRPr="00B43725">
        <w:rPr>
          <w:bCs/>
        </w:rPr>
        <w:t>1,93 mln. eurų – dotacijoms ir paskoloms grąžinti bei palūkanoms mokėti</w:t>
      </w:r>
    </w:p>
    <w:p w14:paraId="2C3FAF8A" w14:textId="667F3ABE" w:rsidR="002A087B" w:rsidRDefault="002A087B" w:rsidP="00BE197B">
      <w:pPr>
        <w:ind w:right="-1" w:firstLine="851"/>
        <w:jc w:val="both"/>
        <w:rPr>
          <w:b/>
        </w:rPr>
      </w:pPr>
      <w:r>
        <w:rPr>
          <w:b/>
        </w:rPr>
        <w:t xml:space="preserve">5. </w:t>
      </w:r>
      <w:r w:rsidRPr="00161543">
        <w:rPr>
          <w:b/>
        </w:rPr>
        <w:t>Kiti sprendimui priimti reikalingi pagrindimai, skaičiavimai ar paaiškinimai.</w:t>
      </w:r>
    </w:p>
    <w:p w14:paraId="55C3B276" w14:textId="01616D9E" w:rsidR="00F55740" w:rsidRPr="00CA2F64" w:rsidRDefault="00F55740" w:rsidP="00F55740">
      <w:pPr>
        <w:pStyle w:val="Betarp"/>
        <w:ind w:firstLine="851"/>
        <w:jc w:val="both"/>
      </w:pPr>
      <w:r w:rsidRPr="00CA2F64">
        <w:rPr>
          <w:bCs/>
        </w:rPr>
        <w:t>Savivaldybės 202</w:t>
      </w:r>
      <w:r w:rsidR="00CA2F64" w:rsidRPr="00CA2F64">
        <w:rPr>
          <w:bCs/>
        </w:rPr>
        <w:t>6</w:t>
      </w:r>
      <w:r w:rsidRPr="00CA2F64">
        <w:rPr>
          <w:bCs/>
        </w:rPr>
        <w:t xml:space="preserve"> metų biudžetas subalansuotas: </w:t>
      </w:r>
      <w:r w:rsidRPr="00CA2F64">
        <w:t>202</w:t>
      </w:r>
      <w:r w:rsidR="00CA2F64" w:rsidRPr="00CA2F64">
        <w:t>6</w:t>
      </w:r>
      <w:r w:rsidRPr="00CA2F64">
        <w:t xml:space="preserve"> metų planuojama pajamų ir asignavimų suma – </w:t>
      </w:r>
      <w:r w:rsidR="00CA2F64" w:rsidRPr="00CA2F64">
        <w:t>101</w:t>
      </w:r>
      <w:r w:rsidR="00EE52EB">
        <w:t xml:space="preserve"> </w:t>
      </w:r>
      <w:r w:rsidR="00CA2F64" w:rsidRPr="00CA2F64">
        <w:t>100 643</w:t>
      </w:r>
      <w:r w:rsidRPr="00CA2F64">
        <w:t xml:space="preserve"> Eur,</w:t>
      </w:r>
      <w:r w:rsidRPr="00CA2F64">
        <w:rPr>
          <w:bCs/>
        </w:rPr>
        <w:t xml:space="preserve"> </w:t>
      </w:r>
      <w:r w:rsidR="00CA2F64" w:rsidRPr="00CA2F64">
        <w:rPr>
          <w:bCs/>
        </w:rPr>
        <w:t xml:space="preserve">o </w:t>
      </w:r>
      <w:r w:rsidRPr="00CA2F64">
        <w:t>bendra 202</w:t>
      </w:r>
      <w:r w:rsidR="00CA2F64" w:rsidRPr="00CA2F64">
        <w:t>7</w:t>
      </w:r>
      <w:r w:rsidRPr="00CA2F64">
        <w:t xml:space="preserve"> metų planuojama pajamų ir asignavimų suma – </w:t>
      </w:r>
      <w:r w:rsidR="00CA2F64" w:rsidRPr="00CA2F64">
        <w:t>108</w:t>
      </w:r>
      <w:r w:rsidR="00EE52EB">
        <w:t xml:space="preserve"> </w:t>
      </w:r>
      <w:r w:rsidR="00CA2F64" w:rsidRPr="00CA2F64">
        <w:t>008 680</w:t>
      </w:r>
      <w:r w:rsidRPr="00CA2F64">
        <w:t xml:space="preserve"> Eur, bendra 202</w:t>
      </w:r>
      <w:r w:rsidR="00CA2F64" w:rsidRPr="00CA2F64">
        <w:t>8</w:t>
      </w:r>
      <w:r w:rsidRPr="00CA2F64">
        <w:t xml:space="preserve"> metų planuojama pajamų ir asignavimų suma – </w:t>
      </w:r>
      <w:r w:rsidR="00CA2F64" w:rsidRPr="00CA2F64">
        <w:t>108</w:t>
      </w:r>
      <w:r w:rsidR="00EE52EB">
        <w:t xml:space="preserve"> </w:t>
      </w:r>
      <w:r w:rsidR="00CA2F64" w:rsidRPr="00CA2F64">
        <w:t>046 180</w:t>
      </w:r>
      <w:r w:rsidRPr="00CA2F64">
        <w:t xml:space="preserve"> Eur.</w:t>
      </w:r>
    </w:p>
    <w:p w14:paraId="14872AD4" w14:textId="25EE9402" w:rsidR="002A087B" w:rsidRDefault="002A087B" w:rsidP="00BE197B">
      <w:pPr>
        <w:ind w:right="-1" w:firstLine="851"/>
        <w:rPr>
          <w:b/>
        </w:rPr>
      </w:pPr>
      <w:r>
        <w:rPr>
          <w:b/>
        </w:rPr>
        <w:t xml:space="preserve">6. </w:t>
      </w:r>
      <w:r w:rsidRPr="00161543">
        <w:rPr>
          <w:b/>
        </w:rPr>
        <w:t>Teisės akto projekto antikorupcinio vertinimo išvada dėl sprendimo projekto teikimo antikorupciniam vertinimui.</w:t>
      </w:r>
    </w:p>
    <w:p w14:paraId="78FF87F3" w14:textId="442780D5" w:rsidR="00B11F2A" w:rsidRPr="00541E6A" w:rsidRDefault="00EE3334" w:rsidP="00BE197B">
      <w:pPr>
        <w:ind w:right="-1" w:firstLine="851"/>
        <w:rPr>
          <w:rFonts w:eastAsia="Calibri"/>
          <w:lang w:eastAsia="en-US"/>
        </w:rPr>
      </w:pPr>
      <w:r w:rsidRPr="00B11F2A">
        <w:rPr>
          <w:rFonts w:eastAsia="Calibri"/>
          <w:lang w:eastAsia="en-US"/>
        </w:rPr>
        <w:t>Teisės akto projekt</w:t>
      </w:r>
      <w:r w:rsidR="001B4992">
        <w:rPr>
          <w:rFonts w:eastAsia="Calibri"/>
          <w:lang w:eastAsia="en-US"/>
        </w:rPr>
        <w:t>as neteikiamas</w:t>
      </w:r>
      <w:r>
        <w:rPr>
          <w:rFonts w:eastAsia="Calibri"/>
          <w:lang w:eastAsia="en-US"/>
        </w:rPr>
        <w:t xml:space="preserve"> </w:t>
      </w:r>
      <w:r w:rsidRPr="00B11F2A">
        <w:rPr>
          <w:rFonts w:eastAsia="Calibri"/>
          <w:lang w:eastAsia="en-US"/>
        </w:rPr>
        <w:t>antikorupcini</w:t>
      </w:r>
      <w:r w:rsidR="001B4992">
        <w:rPr>
          <w:rFonts w:eastAsia="Calibri"/>
          <w:lang w:eastAsia="en-US"/>
        </w:rPr>
        <w:t>am</w:t>
      </w:r>
      <w:r w:rsidRPr="00B11F2A">
        <w:rPr>
          <w:rFonts w:eastAsia="Calibri"/>
          <w:lang w:eastAsia="en-US"/>
        </w:rPr>
        <w:t xml:space="preserve"> vertinim</w:t>
      </w:r>
      <w:r w:rsidR="001B4992">
        <w:rPr>
          <w:rFonts w:eastAsia="Calibri"/>
          <w:lang w:eastAsia="en-US"/>
        </w:rPr>
        <w:t>ui</w:t>
      </w:r>
      <w:r>
        <w:rPr>
          <w:rFonts w:eastAsia="Calibri"/>
          <w:lang w:eastAsia="en-US"/>
        </w:rPr>
        <w:t>.</w:t>
      </w:r>
    </w:p>
    <w:p w14:paraId="099F5A88" w14:textId="77777777" w:rsidR="002A087B" w:rsidRPr="00161543" w:rsidRDefault="002A087B" w:rsidP="00BE197B">
      <w:pPr>
        <w:ind w:firstLine="851"/>
        <w:jc w:val="both"/>
        <w:rPr>
          <w:b/>
        </w:rPr>
      </w:pPr>
      <w:r>
        <w:rPr>
          <w:b/>
        </w:rPr>
        <w:t xml:space="preserve">7. </w:t>
      </w:r>
      <w:r w:rsidRPr="00161543">
        <w:rPr>
          <w:b/>
        </w:rPr>
        <w:t>Autorius ar autorių grupė.</w:t>
      </w:r>
    </w:p>
    <w:p w14:paraId="4B27448B" w14:textId="1F963890" w:rsidR="00B11F2A" w:rsidRDefault="00B11F2A" w:rsidP="00BE197B">
      <w:pPr>
        <w:ind w:right="-1" w:firstLine="851"/>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w:t>
      </w:r>
      <w:r w:rsidR="00071002">
        <w:rPr>
          <w:rFonts w:eastAsia="Calibri"/>
          <w:lang w:val="pt-BR" w:eastAsia="en-US"/>
        </w:rPr>
        <w:t>a</w:t>
      </w:r>
      <w:r w:rsidR="005D045C">
        <w:rPr>
          <w:rFonts w:eastAsia="Calibri"/>
          <w:lang w:val="pt-BR" w:eastAsia="en-US"/>
        </w:rPr>
        <w:t xml:space="preserve"> Alma Rumbutienė</w:t>
      </w:r>
      <w:r w:rsidR="00EC5253">
        <w:rPr>
          <w:rFonts w:eastAsia="Calibri"/>
          <w:lang w:val="pt-BR" w:eastAsia="en-US"/>
        </w:rPr>
        <w:t xml:space="preserve">. </w:t>
      </w:r>
    </w:p>
    <w:sectPr w:rsidR="00B11F2A" w:rsidSect="009020CB">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4276" w14:textId="77777777" w:rsidR="00DC55A2" w:rsidRDefault="00DC55A2" w:rsidP="00F91E49">
      <w:r>
        <w:separator/>
      </w:r>
    </w:p>
  </w:endnote>
  <w:endnote w:type="continuationSeparator" w:id="0">
    <w:p w14:paraId="26066666" w14:textId="77777777" w:rsidR="00DC55A2" w:rsidRDefault="00DC55A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19D9" w14:textId="77777777" w:rsidR="00DC55A2" w:rsidRDefault="00DC55A2" w:rsidP="00F91E49">
      <w:r>
        <w:separator/>
      </w:r>
    </w:p>
  </w:footnote>
  <w:footnote w:type="continuationSeparator" w:id="0">
    <w:p w14:paraId="6485C7E0" w14:textId="77777777" w:rsidR="00DC55A2" w:rsidRDefault="00DC55A2"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27015"/>
      <w:docPartObj>
        <w:docPartGallery w:val="Page Numbers (Top of Page)"/>
        <w:docPartUnique/>
      </w:docPartObj>
    </w:sdtPr>
    <w:sdtEndPr/>
    <w:sdtContent>
      <w:p w14:paraId="54D0D67C" w14:textId="77777777" w:rsidR="009020CB" w:rsidRDefault="009020CB">
        <w:pPr>
          <w:pStyle w:val="Antrats"/>
          <w:jc w:val="center"/>
        </w:pPr>
        <w:r>
          <w:fldChar w:fldCharType="begin"/>
        </w:r>
        <w:r>
          <w:instrText>PAGE   \* MERGEFORMAT</w:instrText>
        </w:r>
        <w:r>
          <w:fldChar w:fldCharType="separate"/>
        </w:r>
        <w:r>
          <w:t>2</w:t>
        </w:r>
        <w:r>
          <w:fldChar w:fldCharType="end"/>
        </w:r>
      </w:p>
    </w:sdtContent>
  </w:sdt>
  <w:p w14:paraId="6AC123F8" w14:textId="77777777" w:rsidR="009020CB" w:rsidRDefault="009020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6A0CA5"/>
    <w:multiLevelType w:val="multilevel"/>
    <w:tmpl w:val="A77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C4FF5"/>
    <w:multiLevelType w:val="hybridMultilevel"/>
    <w:tmpl w:val="E690E47E"/>
    <w:lvl w:ilvl="0" w:tplc="4C82A6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22D6C49"/>
    <w:multiLevelType w:val="multilevel"/>
    <w:tmpl w:val="131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E4970"/>
    <w:multiLevelType w:val="hybridMultilevel"/>
    <w:tmpl w:val="056E8EE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6DE79A2"/>
    <w:multiLevelType w:val="multilevel"/>
    <w:tmpl w:val="1CB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10" w15:restartNumberingAfterBreak="0">
    <w:nsid w:val="1A625FD1"/>
    <w:multiLevelType w:val="multilevel"/>
    <w:tmpl w:val="50D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F0A31"/>
    <w:multiLevelType w:val="multilevel"/>
    <w:tmpl w:val="606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A372A"/>
    <w:multiLevelType w:val="multilevel"/>
    <w:tmpl w:val="026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14" w15:restartNumberingAfterBreak="0">
    <w:nsid w:val="291674E4"/>
    <w:multiLevelType w:val="hybridMultilevel"/>
    <w:tmpl w:val="335A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969B7"/>
    <w:multiLevelType w:val="multilevel"/>
    <w:tmpl w:val="C36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E6640"/>
    <w:multiLevelType w:val="multilevel"/>
    <w:tmpl w:val="CA8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F6EE3"/>
    <w:multiLevelType w:val="hybridMultilevel"/>
    <w:tmpl w:val="737A86A2"/>
    <w:lvl w:ilvl="0" w:tplc="C4C8C2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33A37"/>
    <w:multiLevelType w:val="multilevel"/>
    <w:tmpl w:val="0D4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85CF7"/>
    <w:multiLevelType w:val="multilevel"/>
    <w:tmpl w:val="65A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D575E"/>
    <w:multiLevelType w:val="multilevel"/>
    <w:tmpl w:val="0AE2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75AEB"/>
    <w:multiLevelType w:val="multilevel"/>
    <w:tmpl w:val="6D2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41181"/>
    <w:multiLevelType w:val="hybridMultilevel"/>
    <w:tmpl w:val="299A50D2"/>
    <w:lvl w:ilvl="0" w:tplc="C3949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44D5649"/>
    <w:multiLevelType w:val="multilevel"/>
    <w:tmpl w:val="09F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37155"/>
    <w:multiLevelType w:val="multilevel"/>
    <w:tmpl w:val="4BDC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72496"/>
    <w:multiLevelType w:val="hybridMultilevel"/>
    <w:tmpl w:val="0C046A7C"/>
    <w:lvl w:ilvl="0" w:tplc="46CA2E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8E30D18"/>
    <w:multiLevelType w:val="multilevel"/>
    <w:tmpl w:val="F18A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70286DCA"/>
    <w:multiLevelType w:val="hybridMultilevel"/>
    <w:tmpl w:val="4A5A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B4DE6"/>
    <w:multiLevelType w:val="multilevel"/>
    <w:tmpl w:val="713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13B7C"/>
    <w:multiLevelType w:val="multilevel"/>
    <w:tmpl w:val="850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46178"/>
    <w:multiLevelType w:val="multilevel"/>
    <w:tmpl w:val="FAE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101027783">
    <w:abstractNumId w:val="0"/>
  </w:num>
  <w:num w:numId="2" w16cid:durableId="358433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607164">
    <w:abstractNumId w:val="9"/>
  </w:num>
  <w:num w:numId="4" w16cid:durableId="354310931">
    <w:abstractNumId w:val="13"/>
  </w:num>
  <w:num w:numId="5" w16cid:durableId="1399286640">
    <w:abstractNumId w:val="28"/>
  </w:num>
  <w:num w:numId="6" w16cid:durableId="2013336478">
    <w:abstractNumId w:val="33"/>
  </w:num>
  <w:num w:numId="7" w16cid:durableId="360283620">
    <w:abstractNumId w:val="27"/>
  </w:num>
  <w:num w:numId="8" w16cid:durableId="371005171">
    <w:abstractNumId w:val="3"/>
  </w:num>
  <w:num w:numId="9" w16cid:durableId="1571385091">
    <w:abstractNumId w:val="2"/>
  </w:num>
  <w:num w:numId="10" w16cid:durableId="1947275568">
    <w:abstractNumId w:val="25"/>
  </w:num>
  <w:num w:numId="11" w16cid:durableId="1160078478">
    <w:abstractNumId w:val="34"/>
  </w:num>
  <w:num w:numId="12" w16cid:durableId="1211189933">
    <w:abstractNumId w:val="5"/>
  </w:num>
  <w:num w:numId="13" w16cid:durableId="108547075">
    <w:abstractNumId w:val="22"/>
  </w:num>
  <w:num w:numId="14" w16cid:durableId="999431045">
    <w:abstractNumId w:val="20"/>
  </w:num>
  <w:num w:numId="15" w16cid:durableId="1596935056">
    <w:abstractNumId w:val="26"/>
  </w:num>
  <w:num w:numId="16" w16cid:durableId="2000383637">
    <w:abstractNumId w:val="12"/>
  </w:num>
  <w:num w:numId="17" w16cid:durableId="1840536967">
    <w:abstractNumId w:val="8"/>
  </w:num>
  <w:num w:numId="18" w16cid:durableId="1517159390">
    <w:abstractNumId w:val="18"/>
  </w:num>
  <w:num w:numId="19" w16cid:durableId="640503609">
    <w:abstractNumId w:val="32"/>
  </w:num>
  <w:num w:numId="20" w16cid:durableId="628515517">
    <w:abstractNumId w:val="14"/>
  </w:num>
  <w:num w:numId="21" w16cid:durableId="118763368">
    <w:abstractNumId w:val="17"/>
  </w:num>
  <w:num w:numId="22" w16cid:durableId="1609195345">
    <w:abstractNumId w:val="4"/>
  </w:num>
  <w:num w:numId="23" w16cid:durableId="556739970">
    <w:abstractNumId w:val="30"/>
  </w:num>
  <w:num w:numId="24" w16cid:durableId="1257327862">
    <w:abstractNumId w:val="11"/>
  </w:num>
  <w:num w:numId="25" w16cid:durableId="639072255">
    <w:abstractNumId w:val="15"/>
  </w:num>
  <w:num w:numId="26" w16cid:durableId="132331864">
    <w:abstractNumId w:val="19"/>
  </w:num>
  <w:num w:numId="27" w16cid:durableId="1531841561">
    <w:abstractNumId w:val="16"/>
  </w:num>
  <w:num w:numId="28" w16cid:durableId="742600550">
    <w:abstractNumId w:val="7"/>
  </w:num>
  <w:num w:numId="29" w16cid:durableId="117842991">
    <w:abstractNumId w:val="24"/>
  </w:num>
  <w:num w:numId="30" w16cid:durableId="767040473">
    <w:abstractNumId w:val="21"/>
  </w:num>
  <w:num w:numId="31" w16cid:durableId="161941712">
    <w:abstractNumId w:val="10"/>
  </w:num>
  <w:num w:numId="32" w16cid:durableId="99884296">
    <w:abstractNumId w:val="23"/>
  </w:num>
  <w:num w:numId="33" w16cid:durableId="1984121897">
    <w:abstractNumId w:val="31"/>
  </w:num>
  <w:num w:numId="34" w16cid:durableId="1377781130">
    <w:abstractNumId w:val="6"/>
  </w:num>
  <w:num w:numId="35" w16cid:durableId="16508621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0E0"/>
    <w:rsid w:val="00001E87"/>
    <w:rsid w:val="000069CD"/>
    <w:rsid w:val="000106EB"/>
    <w:rsid w:val="000110E9"/>
    <w:rsid w:val="0001160B"/>
    <w:rsid w:val="00014D0F"/>
    <w:rsid w:val="00016D07"/>
    <w:rsid w:val="00024816"/>
    <w:rsid w:val="00024950"/>
    <w:rsid w:val="00025C2E"/>
    <w:rsid w:val="000270A3"/>
    <w:rsid w:val="000304AF"/>
    <w:rsid w:val="00032381"/>
    <w:rsid w:val="00034F27"/>
    <w:rsid w:val="00045903"/>
    <w:rsid w:val="00047A40"/>
    <w:rsid w:val="000535F5"/>
    <w:rsid w:val="00060D04"/>
    <w:rsid w:val="00071002"/>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E55AE"/>
    <w:rsid w:val="000F1C1B"/>
    <w:rsid w:val="000F5CE3"/>
    <w:rsid w:val="000F73A6"/>
    <w:rsid w:val="00101A16"/>
    <w:rsid w:val="00107F2A"/>
    <w:rsid w:val="00112442"/>
    <w:rsid w:val="00124457"/>
    <w:rsid w:val="001262BB"/>
    <w:rsid w:val="0013720E"/>
    <w:rsid w:val="00142431"/>
    <w:rsid w:val="001424BF"/>
    <w:rsid w:val="00143D51"/>
    <w:rsid w:val="001452DE"/>
    <w:rsid w:val="00150598"/>
    <w:rsid w:val="00160BA3"/>
    <w:rsid w:val="00162906"/>
    <w:rsid w:val="00163E00"/>
    <w:rsid w:val="00170450"/>
    <w:rsid w:val="00172CDD"/>
    <w:rsid w:val="001738BA"/>
    <w:rsid w:val="001739BF"/>
    <w:rsid w:val="00173A61"/>
    <w:rsid w:val="00175261"/>
    <w:rsid w:val="00192905"/>
    <w:rsid w:val="001939FD"/>
    <w:rsid w:val="00195DF6"/>
    <w:rsid w:val="00195E55"/>
    <w:rsid w:val="001970B1"/>
    <w:rsid w:val="001A4AF7"/>
    <w:rsid w:val="001B1090"/>
    <w:rsid w:val="001B4992"/>
    <w:rsid w:val="001C3DE4"/>
    <w:rsid w:val="001E08AE"/>
    <w:rsid w:val="001E0ABA"/>
    <w:rsid w:val="001E248E"/>
    <w:rsid w:val="001F206A"/>
    <w:rsid w:val="001F2803"/>
    <w:rsid w:val="001F454D"/>
    <w:rsid w:val="001F7E17"/>
    <w:rsid w:val="002019E7"/>
    <w:rsid w:val="00201D48"/>
    <w:rsid w:val="0020370F"/>
    <w:rsid w:val="0020798A"/>
    <w:rsid w:val="002131FD"/>
    <w:rsid w:val="00220DEB"/>
    <w:rsid w:val="0022404F"/>
    <w:rsid w:val="00227850"/>
    <w:rsid w:val="00230879"/>
    <w:rsid w:val="00236358"/>
    <w:rsid w:val="00236D58"/>
    <w:rsid w:val="00237344"/>
    <w:rsid w:val="00240223"/>
    <w:rsid w:val="00250765"/>
    <w:rsid w:val="002528E8"/>
    <w:rsid w:val="002557FE"/>
    <w:rsid w:val="002721EA"/>
    <w:rsid w:val="00275800"/>
    <w:rsid w:val="00283B9B"/>
    <w:rsid w:val="00290A2C"/>
    <w:rsid w:val="0029177B"/>
    <w:rsid w:val="002944FC"/>
    <w:rsid w:val="00297EE0"/>
    <w:rsid w:val="002A087B"/>
    <w:rsid w:val="002A1A6A"/>
    <w:rsid w:val="002B258A"/>
    <w:rsid w:val="002B2BB2"/>
    <w:rsid w:val="002B31AF"/>
    <w:rsid w:val="002B4843"/>
    <w:rsid w:val="002B64A2"/>
    <w:rsid w:val="002C062E"/>
    <w:rsid w:val="002C4C89"/>
    <w:rsid w:val="002D0C0D"/>
    <w:rsid w:val="002D209F"/>
    <w:rsid w:val="002E69BC"/>
    <w:rsid w:val="002F093E"/>
    <w:rsid w:val="002F21E7"/>
    <w:rsid w:val="003037D4"/>
    <w:rsid w:val="00307789"/>
    <w:rsid w:val="00310623"/>
    <w:rsid w:val="00312ACA"/>
    <w:rsid w:val="0031600C"/>
    <w:rsid w:val="0031738A"/>
    <w:rsid w:val="0032322D"/>
    <w:rsid w:val="003312FC"/>
    <w:rsid w:val="0033161E"/>
    <w:rsid w:val="0033331F"/>
    <w:rsid w:val="0034223A"/>
    <w:rsid w:val="0034275F"/>
    <w:rsid w:val="00343F05"/>
    <w:rsid w:val="003446C0"/>
    <w:rsid w:val="003470C8"/>
    <w:rsid w:val="00360154"/>
    <w:rsid w:val="00363526"/>
    <w:rsid w:val="00372984"/>
    <w:rsid w:val="00374C24"/>
    <w:rsid w:val="00380C71"/>
    <w:rsid w:val="00385149"/>
    <w:rsid w:val="00387C0C"/>
    <w:rsid w:val="00387C32"/>
    <w:rsid w:val="00397359"/>
    <w:rsid w:val="003A2FEF"/>
    <w:rsid w:val="003A3743"/>
    <w:rsid w:val="003A3B89"/>
    <w:rsid w:val="003A4853"/>
    <w:rsid w:val="003B0903"/>
    <w:rsid w:val="003B111E"/>
    <w:rsid w:val="003B5FC6"/>
    <w:rsid w:val="003B7429"/>
    <w:rsid w:val="003C0FA2"/>
    <w:rsid w:val="003C55AD"/>
    <w:rsid w:val="003C5C27"/>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0F9A"/>
    <w:rsid w:val="00453006"/>
    <w:rsid w:val="0045591B"/>
    <w:rsid w:val="00457981"/>
    <w:rsid w:val="00470F9D"/>
    <w:rsid w:val="004759DF"/>
    <w:rsid w:val="0047627F"/>
    <w:rsid w:val="00477B39"/>
    <w:rsid w:val="00491597"/>
    <w:rsid w:val="004A3CC0"/>
    <w:rsid w:val="004A41F2"/>
    <w:rsid w:val="004A7699"/>
    <w:rsid w:val="004B5A5C"/>
    <w:rsid w:val="004C08B4"/>
    <w:rsid w:val="004C5629"/>
    <w:rsid w:val="004C721F"/>
    <w:rsid w:val="004D3567"/>
    <w:rsid w:val="004D35B2"/>
    <w:rsid w:val="004D3CD8"/>
    <w:rsid w:val="004E20B8"/>
    <w:rsid w:val="004E29CF"/>
    <w:rsid w:val="004E3B12"/>
    <w:rsid w:val="004E55BD"/>
    <w:rsid w:val="004F2C8E"/>
    <w:rsid w:val="004F2EDE"/>
    <w:rsid w:val="004F3F5E"/>
    <w:rsid w:val="004F5E91"/>
    <w:rsid w:val="00507083"/>
    <w:rsid w:val="0051544C"/>
    <w:rsid w:val="00524B85"/>
    <w:rsid w:val="00525F69"/>
    <w:rsid w:val="005271F0"/>
    <w:rsid w:val="005353BA"/>
    <w:rsid w:val="00541E6A"/>
    <w:rsid w:val="005421E8"/>
    <w:rsid w:val="00543470"/>
    <w:rsid w:val="00554949"/>
    <w:rsid w:val="005572FC"/>
    <w:rsid w:val="00557D13"/>
    <w:rsid w:val="005657F6"/>
    <w:rsid w:val="005709BD"/>
    <w:rsid w:val="005747B5"/>
    <w:rsid w:val="00587EC8"/>
    <w:rsid w:val="005964EE"/>
    <w:rsid w:val="00596C3B"/>
    <w:rsid w:val="005A0CB1"/>
    <w:rsid w:val="005B1AE2"/>
    <w:rsid w:val="005B2FEE"/>
    <w:rsid w:val="005B4E5C"/>
    <w:rsid w:val="005B5F27"/>
    <w:rsid w:val="005C5002"/>
    <w:rsid w:val="005D045C"/>
    <w:rsid w:val="005D13F5"/>
    <w:rsid w:val="005D194E"/>
    <w:rsid w:val="005D5AA7"/>
    <w:rsid w:val="005E3122"/>
    <w:rsid w:val="005E3D64"/>
    <w:rsid w:val="006027C4"/>
    <w:rsid w:val="00602E3D"/>
    <w:rsid w:val="00610F57"/>
    <w:rsid w:val="0061104D"/>
    <w:rsid w:val="00612B38"/>
    <w:rsid w:val="00620D12"/>
    <w:rsid w:val="0064164F"/>
    <w:rsid w:val="00644C61"/>
    <w:rsid w:val="006502F6"/>
    <w:rsid w:val="006533E5"/>
    <w:rsid w:val="00653CA2"/>
    <w:rsid w:val="00654C5B"/>
    <w:rsid w:val="0066256F"/>
    <w:rsid w:val="0066322A"/>
    <w:rsid w:val="00672120"/>
    <w:rsid w:val="006756AC"/>
    <w:rsid w:val="006943AF"/>
    <w:rsid w:val="00696B55"/>
    <w:rsid w:val="006A23FA"/>
    <w:rsid w:val="006B06A3"/>
    <w:rsid w:val="006B07F5"/>
    <w:rsid w:val="006B3CFA"/>
    <w:rsid w:val="006C3349"/>
    <w:rsid w:val="006C484B"/>
    <w:rsid w:val="006C6AB5"/>
    <w:rsid w:val="006E115C"/>
    <w:rsid w:val="006E3846"/>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0FD0"/>
    <w:rsid w:val="007515B2"/>
    <w:rsid w:val="007608F3"/>
    <w:rsid w:val="0076603E"/>
    <w:rsid w:val="007668BA"/>
    <w:rsid w:val="00770ABC"/>
    <w:rsid w:val="00774F02"/>
    <w:rsid w:val="007872AF"/>
    <w:rsid w:val="0079088C"/>
    <w:rsid w:val="007934D7"/>
    <w:rsid w:val="007A648D"/>
    <w:rsid w:val="007A65CA"/>
    <w:rsid w:val="007A73A3"/>
    <w:rsid w:val="007A7568"/>
    <w:rsid w:val="007B2553"/>
    <w:rsid w:val="007B4C6F"/>
    <w:rsid w:val="007C3B7F"/>
    <w:rsid w:val="007C7006"/>
    <w:rsid w:val="007D6797"/>
    <w:rsid w:val="007D6E1C"/>
    <w:rsid w:val="007E41FC"/>
    <w:rsid w:val="007E4E8B"/>
    <w:rsid w:val="007E6102"/>
    <w:rsid w:val="007E7518"/>
    <w:rsid w:val="007F3B32"/>
    <w:rsid w:val="007F3FFA"/>
    <w:rsid w:val="007F4D87"/>
    <w:rsid w:val="00803D8D"/>
    <w:rsid w:val="0081066F"/>
    <w:rsid w:val="008114EE"/>
    <w:rsid w:val="0081594B"/>
    <w:rsid w:val="008174D9"/>
    <w:rsid w:val="00822104"/>
    <w:rsid w:val="00822362"/>
    <w:rsid w:val="00822851"/>
    <w:rsid w:val="00822F12"/>
    <w:rsid w:val="008265DA"/>
    <w:rsid w:val="00827470"/>
    <w:rsid w:val="00827776"/>
    <w:rsid w:val="00842495"/>
    <w:rsid w:val="00843594"/>
    <w:rsid w:val="0084713F"/>
    <w:rsid w:val="0085079D"/>
    <w:rsid w:val="00854E29"/>
    <w:rsid w:val="00857CC4"/>
    <w:rsid w:val="00866B18"/>
    <w:rsid w:val="0087179C"/>
    <w:rsid w:val="008731D0"/>
    <w:rsid w:val="008779BF"/>
    <w:rsid w:val="00880581"/>
    <w:rsid w:val="008854F0"/>
    <w:rsid w:val="008905BD"/>
    <w:rsid w:val="00893DBD"/>
    <w:rsid w:val="008B44EC"/>
    <w:rsid w:val="008B5F0D"/>
    <w:rsid w:val="008C37EA"/>
    <w:rsid w:val="008C4617"/>
    <w:rsid w:val="008D00DD"/>
    <w:rsid w:val="008D22D5"/>
    <w:rsid w:val="008D6F1E"/>
    <w:rsid w:val="008E2498"/>
    <w:rsid w:val="008E6D68"/>
    <w:rsid w:val="009013D2"/>
    <w:rsid w:val="009020CB"/>
    <w:rsid w:val="00902E06"/>
    <w:rsid w:val="00903B61"/>
    <w:rsid w:val="009046F5"/>
    <w:rsid w:val="009073B2"/>
    <w:rsid w:val="00910C73"/>
    <w:rsid w:val="0091236A"/>
    <w:rsid w:val="00914964"/>
    <w:rsid w:val="009166F2"/>
    <w:rsid w:val="009178B8"/>
    <w:rsid w:val="009225AA"/>
    <w:rsid w:val="00922B5C"/>
    <w:rsid w:val="00922EB6"/>
    <w:rsid w:val="00923D7A"/>
    <w:rsid w:val="00924E53"/>
    <w:rsid w:val="00926CF2"/>
    <w:rsid w:val="00927158"/>
    <w:rsid w:val="009307A4"/>
    <w:rsid w:val="0093382B"/>
    <w:rsid w:val="0093508B"/>
    <w:rsid w:val="00941E4D"/>
    <w:rsid w:val="00947826"/>
    <w:rsid w:val="00950690"/>
    <w:rsid w:val="0095263A"/>
    <w:rsid w:val="00957095"/>
    <w:rsid w:val="0095778D"/>
    <w:rsid w:val="00964F07"/>
    <w:rsid w:val="00966D6B"/>
    <w:rsid w:val="009705DD"/>
    <w:rsid w:val="009721FE"/>
    <w:rsid w:val="009732B5"/>
    <w:rsid w:val="00974E4D"/>
    <w:rsid w:val="00977507"/>
    <w:rsid w:val="009849E5"/>
    <w:rsid w:val="00991B2B"/>
    <w:rsid w:val="0099318C"/>
    <w:rsid w:val="009950F4"/>
    <w:rsid w:val="009A0E85"/>
    <w:rsid w:val="009A2EC9"/>
    <w:rsid w:val="009A2EF7"/>
    <w:rsid w:val="009A4050"/>
    <w:rsid w:val="009B0107"/>
    <w:rsid w:val="009B0E15"/>
    <w:rsid w:val="009B2021"/>
    <w:rsid w:val="009B5249"/>
    <w:rsid w:val="009B72E2"/>
    <w:rsid w:val="009C0181"/>
    <w:rsid w:val="009C33DD"/>
    <w:rsid w:val="009C39BA"/>
    <w:rsid w:val="009C6CF3"/>
    <w:rsid w:val="009C6D14"/>
    <w:rsid w:val="009E3763"/>
    <w:rsid w:val="009E3D06"/>
    <w:rsid w:val="009E428D"/>
    <w:rsid w:val="009E5E3F"/>
    <w:rsid w:val="009F0B8D"/>
    <w:rsid w:val="009F199D"/>
    <w:rsid w:val="009F2494"/>
    <w:rsid w:val="00A076E1"/>
    <w:rsid w:val="00A16125"/>
    <w:rsid w:val="00A26F15"/>
    <w:rsid w:val="00A26FC2"/>
    <w:rsid w:val="00A27B60"/>
    <w:rsid w:val="00A30236"/>
    <w:rsid w:val="00A306C5"/>
    <w:rsid w:val="00A427BB"/>
    <w:rsid w:val="00A45196"/>
    <w:rsid w:val="00A45E28"/>
    <w:rsid w:val="00A46A78"/>
    <w:rsid w:val="00A50F14"/>
    <w:rsid w:val="00A52A56"/>
    <w:rsid w:val="00A60FEC"/>
    <w:rsid w:val="00A620EB"/>
    <w:rsid w:val="00A6697D"/>
    <w:rsid w:val="00A671B3"/>
    <w:rsid w:val="00A73E11"/>
    <w:rsid w:val="00A75AED"/>
    <w:rsid w:val="00A76D74"/>
    <w:rsid w:val="00A82174"/>
    <w:rsid w:val="00A858EB"/>
    <w:rsid w:val="00A95E2E"/>
    <w:rsid w:val="00AA2126"/>
    <w:rsid w:val="00AA4052"/>
    <w:rsid w:val="00AA429F"/>
    <w:rsid w:val="00AA6B04"/>
    <w:rsid w:val="00AB04B4"/>
    <w:rsid w:val="00AB72ED"/>
    <w:rsid w:val="00AC2E5F"/>
    <w:rsid w:val="00AC5DF7"/>
    <w:rsid w:val="00AD0466"/>
    <w:rsid w:val="00AD08E7"/>
    <w:rsid w:val="00AD44BB"/>
    <w:rsid w:val="00AE0BF2"/>
    <w:rsid w:val="00AE0E5C"/>
    <w:rsid w:val="00AE417D"/>
    <w:rsid w:val="00AE44F7"/>
    <w:rsid w:val="00AE6B07"/>
    <w:rsid w:val="00AF541C"/>
    <w:rsid w:val="00B02B5E"/>
    <w:rsid w:val="00B03C5A"/>
    <w:rsid w:val="00B07278"/>
    <w:rsid w:val="00B10AA3"/>
    <w:rsid w:val="00B114C2"/>
    <w:rsid w:val="00B11C41"/>
    <w:rsid w:val="00B11F2A"/>
    <w:rsid w:val="00B12481"/>
    <w:rsid w:val="00B1325F"/>
    <w:rsid w:val="00B243CE"/>
    <w:rsid w:val="00B303A9"/>
    <w:rsid w:val="00B33414"/>
    <w:rsid w:val="00B35E8B"/>
    <w:rsid w:val="00B43725"/>
    <w:rsid w:val="00B43C3D"/>
    <w:rsid w:val="00B44654"/>
    <w:rsid w:val="00B5655A"/>
    <w:rsid w:val="00B57A34"/>
    <w:rsid w:val="00B60A51"/>
    <w:rsid w:val="00B737DD"/>
    <w:rsid w:val="00B73FC8"/>
    <w:rsid w:val="00B77B06"/>
    <w:rsid w:val="00B81919"/>
    <w:rsid w:val="00B81E2C"/>
    <w:rsid w:val="00B82D08"/>
    <w:rsid w:val="00B94888"/>
    <w:rsid w:val="00B960E2"/>
    <w:rsid w:val="00B97725"/>
    <w:rsid w:val="00BA435A"/>
    <w:rsid w:val="00BB26A9"/>
    <w:rsid w:val="00BB3118"/>
    <w:rsid w:val="00BC29A9"/>
    <w:rsid w:val="00BC3CD2"/>
    <w:rsid w:val="00BC3FBF"/>
    <w:rsid w:val="00BC45A8"/>
    <w:rsid w:val="00BC6DAB"/>
    <w:rsid w:val="00BD16A7"/>
    <w:rsid w:val="00BD1A4D"/>
    <w:rsid w:val="00BD3DDD"/>
    <w:rsid w:val="00BD4BCB"/>
    <w:rsid w:val="00BD4D27"/>
    <w:rsid w:val="00BE197B"/>
    <w:rsid w:val="00BE6EAC"/>
    <w:rsid w:val="00BE7945"/>
    <w:rsid w:val="00BF0A20"/>
    <w:rsid w:val="00BF4D9B"/>
    <w:rsid w:val="00BF4FAC"/>
    <w:rsid w:val="00BF5480"/>
    <w:rsid w:val="00C013F1"/>
    <w:rsid w:val="00C06B02"/>
    <w:rsid w:val="00C153E9"/>
    <w:rsid w:val="00C2634B"/>
    <w:rsid w:val="00C26A1B"/>
    <w:rsid w:val="00C275B7"/>
    <w:rsid w:val="00C27DFE"/>
    <w:rsid w:val="00C27F35"/>
    <w:rsid w:val="00C3364F"/>
    <w:rsid w:val="00C36680"/>
    <w:rsid w:val="00C411BF"/>
    <w:rsid w:val="00C42CF1"/>
    <w:rsid w:val="00C43D29"/>
    <w:rsid w:val="00C43E16"/>
    <w:rsid w:val="00C44896"/>
    <w:rsid w:val="00C55C83"/>
    <w:rsid w:val="00C56A28"/>
    <w:rsid w:val="00C61978"/>
    <w:rsid w:val="00C64AB2"/>
    <w:rsid w:val="00C664AF"/>
    <w:rsid w:val="00C67EDD"/>
    <w:rsid w:val="00C735F3"/>
    <w:rsid w:val="00C75480"/>
    <w:rsid w:val="00C7756A"/>
    <w:rsid w:val="00C775DC"/>
    <w:rsid w:val="00C80197"/>
    <w:rsid w:val="00C816B9"/>
    <w:rsid w:val="00C879F3"/>
    <w:rsid w:val="00C9316D"/>
    <w:rsid w:val="00CA1B50"/>
    <w:rsid w:val="00CA2F64"/>
    <w:rsid w:val="00CA437F"/>
    <w:rsid w:val="00CA609B"/>
    <w:rsid w:val="00CB16B9"/>
    <w:rsid w:val="00CB1FDE"/>
    <w:rsid w:val="00CB3016"/>
    <w:rsid w:val="00CB319F"/>
    <w:rsid w:val="00CB4C43"/>
    <w:rsid w:val="00CB78ED"/>
    <w:rsid w:val="00CB7EA0"/>
    <w:rsid w:val="00CC718D"/>
    <w:rsid w:val="00CE1025"/>
    <w:rsid w:val="00CE451D"/>
    <w:rsid w:val="00CE4DE7"/>
    <w:rsid w:val="00CE663E"/>
    <w:rsid w:val="00CE6812"/>
    <w:rsid w:val="00CF28F0"/>
    <w:rsid w:val="00CF55F7"/>
    <w:rsid w:val="00D00F0B"/>
    <w:rsid w:val="00D024A1"/>
    <w:rsid w:val="00D03F03"/>
    <w:rsid w:val="00D04B09"/>
    <w:rsid w:val="00D1144D"/>
    <w:rsid w:val="00D177DB"/>
    <w:rsid w:val="00D20671"/>
    <w:rsid w:val="00D264E4"/>
    <w:rsid w:val="00D32FB1"/>
    <w:rsid w:val="00D34003"/>
    <w:rsid w:val="00D37AD7"/>
    <w:rsid w:val="00D42BC6"/>
    <w:rsid w:val="00D509F8"/>
    <w:rsid w:val="00D541E8"/>
    <w:rsid w:val="00D57C34"/>
    <w:rsid w:val="00D625C6"/>
    <w:rsid w:val="00D72320"/>
    <w:rsid w:val="00D75115"/>
    <w:rsid w:val="00D7580E"/>
    <w:rsid w:val="00D81404"/>
    <w:rsid w:val="00D859C2"/>
    <w:rsid w:val="00D93470"/>
    <w:rsid w:val="00D96E44"/>
    <w:rsid w:val="00DA5AD0"/>
    <w:rsid w:val="00DB0420"/>
    <w:rsid w:val="00DB17AF"/>
    <w:rsid w:val="00DB2ECD"/>
    <w:rsid w:val="00DB529D"/>
    <w:rsid w:val="00DC332B"/>
    <w:rsid w:val="00DC55A2"/>
    <w:rsid w:val="00DC7093"/>
    <w:rsid w:val="00DD061D"/>
    <w:rsid w:val="00DD13E9"/>
    <w:rsid w:val="00DD3CF7"/>
    <w:rsid w:val="00DD680E"/>
    <w:rsid w:val="00DE0439"/>
    <w:rsid w:val="00DE3B98"/>
    <w:rsid w:val="00DE4819"/>
    <w:rsid w:val="00DE49AF"/>
    <w:rsid w:val="00DF059F"/>
    <w:rsid w:val="00DF5C7F"/>
    <w:rsid w:val="00E047FA"/>
    <w:rsid w:val="00E158AD"/>
    <w:rsid w:val="00E16795"/>
    <w:rsid w:val="00E249EF"/>
    <w:rsid w:val="00E24D60"/>
    <w:rsid w:val="00E25BB6"/>
    <w:rsid w:val="00E30062"/>
    <w:rsid w:val="00E34ADD"/>
    <w:rsid w:val="00E415A0"/>
    <w:rsid w:val="00E41A02"/>
    <w:rsid w:val="00E427DB"/>
    <w:rsid w:val="00E5108D"/>
    <w:rsid w:val="00E52B9A"/>
    <w:rsid w:val="00E52DE1"/>
    <w:rsid w:val="00E54C2F"/>
    <w:rsid w:val="00E55FC4"/>
    <w:rsid w:val="00E57D73"/>
    <w:rsid w:val="00E57E67"/>
    <w:rsid w:val="00E737EC"/>
    <w:rsid w:val="00E7503F"/>
    <w:rsid w:val="00E83003"/>
    <w:rsid w:val="00E84333"/>
    <w:rsid w:val="00E967D9"/>
    <w:rsid w:val="00EA0F4F"/>
    <w:rsid w:val="00EA2A8E"/>
    <w:rsid w:val="00EA6D35"/>
    <w:rsid w:val="00EB4AB2"/>
    <w:rsid w:val="00EC1FD3"/>
    <w:rsid w:val="00EC20B6"/>
    <w:rsid w:val="00EC5253"/>
    <w:rsid w:val="00EC6A82"/>
    <w:rsid w:val="00ED08FC"/>
    <w:rsid w:val="00ED3906"/>
    <w:rsid w:val="00EE2E10"/>
    <w:rsid w:val="00EE3334"/>
    <w:rsid w:val="00EE46F2"/>
    <w:rsid w:val="00EE4F11"/>
    <w:rsid w:val="00EE52EB"/>
    <w:rsid w:val="00EE600E"/>
    <w:rsid w:val="00EF123E"/>
    <w:rsid w:val="00F00C23"/>
    <w:rsid w:val="00F00E2E"/>
    <w:rsid w:val="00F0683A"/>
    <w:rsid w:val="00F10E7C"/>
    <w:rsid w:val="00F15871"/>
    <w:rsid w:val="00F16F1B"/>
    <w:rsid w:val="00F30B70"/>
    <w:rsid w:val="00F347EA"/>
    <w:rsid w:val="00F4111B"/>
    <w:rsid w:val="00F5228E"/>
    <w:rsid w:val="00F53E93"/>
    <w:rsid w:val="00F55740"/>
    <w:rsid w:val="00F557E7"/>
    <w:rsid w:val="00F60C59"/>
    <w:rsid w:val="00F640A7"/>
    <w:rsid w:val="00F662DA"/>
    <w:rsid w:val="00F7081C"/>
    <w:rsid w:val="00F90669"/>
    <w:rsid w:val="00F91E49"/>
    <w:rsid w:val="00FA2E26"/>
    <w:rsid w:val="00FB6504"/>
    <w:rsid w:val="00FC21A0"/>
    <w:rsid w:val="00FC6D3B"/>
    <w:rsid w:val="00FC752E"/>
    <w:rsid w:val="00FE2440"/>
    <w:rsid w:val="00FE2EC6"/>
    <w:rsid w:val="00FE38C9"/>
    <w:rsid w:val="00FE70D0"/>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paragraph" w:styleId="Antrat4">
    <w:name w:val="heading 4"/>
    <w:basedOn w:val="prastasis"/>
    <w:next w:val="prastasis"/>
    <w:link w:val="Antrat4Diagrama"/>
    <w:semiHidden/>
    <w:unhideWhenUsed/>
    <w:qFormat/>
    <w:rsid w:val="00BF4D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uiPriority w:val="99"/>
    <w:rsid w:val="00B11F2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 w:type="character" w:customStyle="1" w:styleId="Antrat4Diagrama">
    <w:name w:val="Antraštė 4 Diagrama"/>
    <w:basedOn w:val="Numatytasispastraiposriftas"/>
    <w:link w:val="Antrat4"/>
    <w:semiHidden/>
    <w:rsid w:val="00BF4D9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33">
      <w:bodyDiv w:val="1"/>
      <w:marLeft w:val="0"/>
      <w:marRight w:val="0"/>
      <w:marTop w:val="0"/>
      <w:marBottom w:val="0"/>
      <w:divBdr>
        <w:top w:val="none" w:sz="0" w:space="0" w:color="auto"/>
        <w:left w:val="none" w:sz="0" w:space="0" w:color="auto"/>
        <w:bottom w:val="none" w:sz="0" w:space="0" w:color="auto"/>
        <w:right w:val="none" w:sz="0" w:space="0" w:color="auto"/>
      </w:divBdr>
      <w:divsChild>
        <w:div w:id="477234713">
          <w:marLeft w:val="0"/>
          <w:marRight w:val="0"/>
          <w:marTop w:val="0"/>
          <w:marBottom w:val="0"/>
          <w:divBdr>
            <w:top w:val="none" w:sz="0" w:space="0" w:color="auto"/>
            <w:left w:val="none" w:sz="0" w:space="0" w:color="auto"/>
            <w:bottom w:val="none" w:sz="0" w:space="0" w:color="auto"/>
            <w:right w:val="none" w:sz="0" w:space="0" w:color="auto"/>
          </w:divBdr>
        </w:div>
      </w:divsChild>
    </w:div>
    <w:div w:id="8652431">
      <w:bodyDiv w:val="1"/>
      <w:marLeft w:val="0"/>
      <w:marRight w:val="0"/>
      <w:marTop w:val="0"/>
      <w:marBottom w:val="0"/>
      <w:divBdr>
        <w:top w:val="none" w:sz="0" w:space="0" w:color="auto"/>
        <w:left w:val="none" w:sz="0" w:space="0" w:color="auto"/>
        <w:bottom w:val="none" w:sz="0" w:space="0" w:color="auto"/>
        <w:right w:val="none" w:sz="0" w:space="0" w:color="auto"/>
      </w:divBdr>
    </w:div>
    <w:div w:id="50156877">
      <w:bodyDiv w:val="1"/>
      <w:marLeft w:val="0"/>
      <w:marRight w:val="0"/>
      <w:marTop w:val="0"/>
      <w:marBottom w:val="0"/>
      <w:divBdr>
        <w:top w:val="none" w:sz="0" w:space="0" w:color="auto"/>
        <w:left w:val="none" w:sz="0" w:space="0" w:color="auto"/>
        <w:bottom w:val="none" w:sz="0" w:space="0" w:color="auto"/>
        <w:right w:val="none" w:sz="0" w:space="0" w:color="auto"/>
      </w:divBdr>
    </w:div>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532618724">
      <w:bodyDiv w:val="1"/>
      <w:marLeft w:val="0"/>
      <w:marRight w:val="0"/>
      <w:marTop w:val="0"/>
      <w:marBottom w:val="0"/>
      <w:divBdr>
        <w:top w:val="none" w:sz="0" w:space="0" w:color="auto"/>
        <w:left w:val="none" w:sz="0" w:space="0" w:color="auto"/>
        <w:bottom w:val="none" w:sz="0" w:space="0" w:color="auto"/>
        <w:right w:val="none" w:sz="0" w:space="0" w:color="auto"/>
      </w:divBdr>
    </w:div>
    <w:div w:id="622616425">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30593537">
      <w:bodyDiv w:val="1"/>
      <w:marLeft w:val="0"/>
      <w:marRight w:val="0"/>
      <w:marTop w:val="0"/>
      <w:marBottom w:val="0"/>
      <w:divBdr>
        <w:top w:val="none" w:sz="0" w:space="0" w:color="auto"/>
        <w:left w:val="none" w:sz="0" w:space="0" w:color="auto"/>
        <w:bottom w:val="none" w:sz="0" w:space="0" w:color="auto"/>
        <w:right w:val="none" w:sz="0" w:space="0" w:color="auto"/>
      </w:divBdr>
    </w:div>
    <w:div w:id="1165391792">
      <w:bodyDiv w:val="1"/>
      <w:marLeft w:val="0"/>
      <w:marRight w:val="0"/>
      <w:marTop w:val="0"/>
      <w:marBottom w:val="0"/>
      <w:divBdr>
        <w:top w:val="none" w:sz="0" w:space="0" w:color="auto"/>
        <w:left w:val="none" w:sz="0" w:space="0" w:color="auto"/>
        <w:bottom w:val="none" w:sz="0" w:space="0" w:color="auto"/>
        <w:right w:val="none" w:sz="0" w:space="0" w:color="auto"/>
      </w:divBdr>
      <w:divsChild>
        <w:div w:id="1936673552">
          <w:marLeft w:val="0"/>
          <w:marRight w:val="0"/>
          <w:marTop w:val="0"/>
          <w:marBottom w:val="0"/>
          <w:divBdr>
            <w:top w:val="none" w:sz="0" w:space="0" w:color="auto"/>
            <w:left w:val="none" w:sz="0" w:space="0" w:color="auto"/>
            <w:bottom w:val="none" w:sz="0" w:space="0" w:color="auto"/>
            <w:right w:val="none" w:sz="0" w:space="0" w:color="auto"/>
          </w:divBdr>
        </w:div>
      </w:divsChild>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99740775">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 w:id="21294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kaupiklis.kretinga.lt\ruf$\alma.rumbutiene\Desktop\2026%20BIUD&#381;ETAS\SPRENDIMO%20PROJEKTAS\Pavie&#353;inimui\Pajam&#371;%20paskirstym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upiklis.kretinga.lt\ruf$\alma.rumbutiene\Desktop\2026%20BIUD&#381;ETAS\SPRENDIMO%20PROJEKTAS\Pavie&#353;inimui\Asignavim&#371;%20paskirstym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PLANUOJAMOS PAJAMOS</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32796138193301783"/>
          <c:y val="5.90950890003449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'2026'!$A$8</c:f>
              <c:strCache>
                <c:ptCount val="1"/>
                <c:pt idx="0">
                  <c:v>Savivaldybės biudžeto pajamos 54,5 mln. eurų</c:v>
                </c:pt>
              </c:strCache>
            </c:strRef>
          </c:tx>
          <c:spPr>
            <a:solidFill>
              <a:schemeClr val="accent6"/>
            </a:solidFill>
            <a:ln>
              <a:noFill/>
            </a:ln>
            <a:effectLst/>
            <a:sp3d/>
          </c:spPr>
          <c:invertIfNegative val="0"/>
          <c:dLbls>
            <c:dLbl>
              <c:idx val="0"/>
              <c:layout>
                <c:manualLayout>
                  <c:x val="-1.1485250948211467E-2"/>
                  <c:y val="0.13665753872444181"/>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F55DEADA-E8F7-42B3-993F-AC1E9CD28A98}" type="SERIESNAME">
                      <a:rPr lang="lt-LT" sz="1100" i="1" baseline="0">
                        <a:latin typeface="Times New Roman" panose="02020603050405020304" pitchFamily="18" charset="0"/>
                        <a:cs typeface="Times New Roman" panose="02020603050405020304" pitchFamily="18" charset="0"/>
                      </a:rPr>
                      <a:pPr>
                        <a:defRPr/>
                      </a:pPr>
                      <a:t>[SEKOS PAVADINIMAS]</a:t>
                    </a:fld>
                    <a:endParaRPr lang="en-US"/>
                  </a:p>
                </c:rich>
              </c:tx>
              <c:spPr>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1286"/>
                        <a:gd name="adj2" fmla="val -51961"/>
                      </a:avLst>
                    </a:prstGeom>
                    <a:noFill/>
                    <a:ln>
                      <a:noFill/>
                    </a:ln>
                  </c15:spPr>
                  <c15:layout>
                    <c:manualLayout>
                      <c:w val="0.47002481044403116"/>
                      <c:h val="8.6185766808219558E-2"/>
                    </c:manualLayout>
                  </c15:layout>
                  <c15:dlblFieldTable/>
                  <c15:showDataLabelsRange val="0"/>
                </c:ext>
                <c:ext xmlns:c16="http://schemas.microsoft.com/office/drawing/2014/chart" uri="{C3380CC4-5D6E-409C-BE32-E72D297353CC}">
                  <c16:uniqueId val="{00000000-09C0-47B2-8248-E4308E52D927}"/>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'2026'!$B$8</c:f>
              <c:numCache>
                <c:formatCode>0.0</c:formatCode>
                <c:ptCount val="1"/>
                <c:pt idx="0">
                  <c:v>54536.133999999998</c:v>
                </c:pt>
              </c:numCache>
            </c:numRef>
          </c:val>
          <c:extLst>
            <c:ext xmlns:c16="http://schemas.microsoft.com/office/drawing/2014/chart" uri="{C3380CC4-5D6E-409C-BE32-E72D297353CC}">
              <c16:uniqueId val="{00000001-09C0-47B2-8248-E4308E52D927}"/>
            </c:ext>
          </c:extLst>
        </c:ser>
        <c:ser>
          <c:idx val="1"/>
          <c:order val="1"/>
          <c:tx>
            <c:strRef>
              <c:f>'2026'!$A$9</c:f>
              <c:strCache>
                <c:ptCount val="1"/>
                <c:pt idx="0">
                  <c:v>Valstybės biudžeto lėšos ir dotacijos 34,6 mln. eurų</c:v>
                </c:pt>
              </c:strCache>
            </c:strRef>
          </c:tx>
          <c:spPr>
            <a:solidFill>
              <a:schemeClr val="accent5"/>
            </a:solidFill>
            <a:ln>
              <a:noFill/>
            </a:ln>
            <a:effectLst/>
            <a:sp3d/>
          </c:spPr>
          <c:invertIfNegative val="0"/>
          <c:dLbls>
            <c:dLbl>
              <c:idx val="0"/>
              <c:layout>
                <c:manualLayout>
                  <c:x val="3.8348406115184905E-2"/>
                  <c:y val="-4.8014759812780305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lt-LT" baseline="0"/>
                      <a:t> </a:t>
                    </a:r>
                    <a:fld id="{2652AE9A-509A-4D69-ABF5-FD9D45F3FCDD}" type="SERIESNAME">
                      <a:rPr lang="en-US" sz="1100" i="1" baseline="0">
                        <a:latin typeface="Times New Roman" panose="02020603050405020304" pitchFamily="18" charset="0"/>
                        <a:cs typeface="Times New Roman" panose="02020603050405020304" pitchFamily="18" charset="0"/>
                      </a:rPr>
                      <a:pPr>
                        <a:defRPr/>
                      </a:pPr>
                      <a:t>[SEKOS PAVADINIMAS]</a:t>
                    </a:fld>
                    <a:endParaRPr lang="lt-LT" baseline="0"/>
                  </a:p>
                </c:rich>
              </c:tx>
              <c:spPr>
                <a:xfrm>
                  <a:off x="3673036" y="2064684"/>
                  <a:ext cx="2344967" cy="360660"/>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0304"/>
                        <a:gd name="adj2" fmla="val -3176"/>
                      </a:avLst>
                    </a:prstGeom>
                    <a:noFill/>
                    <a:ln>
                      <a:noFill/>
                    </a:ln>
                  </c15:spPr>
                  <c15:layout>
                    <c:manualLayout>
                      <c:w val="0.38557672813564203"/>
                      <c:h val="0.13074206796749538"/>
                    </c:manualLayout>
                  </c15:layout>
                  <c15:dlblFieldTable/>
                  <c15:showDataLabelsRange val="0"/>
                </c:ext>
                <c:ext xmlns:c16="http://schemas.microsoft.com/office/drawing/2014/chart" uri="{C3380CC4-5D6E-409C-BE32-E72D297353CC}">
                  <c16:uniqueId val="{00000002-09C0-47B2-8248-E4308E52D927}"/>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'2026'!$B$9</c:f>
              <c:numCache>
                <c:formatCode>0.0</c:formatCode>
                <c:ptCount val="1"/>
                <c:pt idx="0">
                  <c:v>34576.800000000003</c:v>
                </c:pt>
              </c:numCache>
            </c:numRef>
          </c:val>
          <c:extLst>
            <c:ext xmlns:c16="http://schemas.microsoft.com/office/drawing/2014/chart" uri="{C3380CC4-5D6E-409C-BE32-E72D297353CC}">
              <c16:uniqueId val="{00000003-09C0-47B2-8248-E4308E52D927}"/>
            </c:ext>
          </c:extLst>
        </c:ser>
        <c:ser>
          <c:idx val="2"/>
          <c:order val="2"/>
          <c:tx>
            <c:strRef>
              <c:f>'2026'!$A$10</c:f>
              <c:strCache>
                <c:ptCount val="1"/>
                <c:pt idx="0">
                  <c:v>Europos Sąjungos lėšos 4,6 mln. eurų</c:v>
                </c:pt>
              </c:strCache>
            </c:strRef>
          </c:tx>
          <c:spPr>
            <a:solidFill>
              <a:schemeClr val="accent4"/>
            </a:solidFill>
            <a:ln>
              <a:noFill/>
            </a:ln>
            <a:effectLst/>
            <a:sp3d/>
          </c:spPr>
          <c:invertIfNegative val="0"/>
          <c:dLbls>
            <c:dLbl>
              <c:idx val="0"/>
              <c:layout>
                <c:manualLayout>
                  <c:x val="8.6319019000074451E-2"/>
                  <c:y val="-5.9261439349302648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AD5A6E9A-697C-4063-9CB7-5E7C6BD012A6}" type="SERIESNAME">
                      <a:rPr lang="lt-LT" sz="1100" i="1" baseline="0">
                        <a:latin typeface="Times New Roman" panose="02020603050405020304" pitchFamily="18" charset="0"/>
                        <a:cs typeface="Times New Roman" panose="02020603050405020304" pitchFamily="18" charset="0"/>
                      </a:rPr>
                      <a:pPr>
                        <a:defRPr/>
                      </a:pPr>
                      <a:t>[SEKOS PAVADINIMAS]</a:t>
                    </a:fld>
                    <a:endParaRPr lang="en-US"/>
                  </a:p>
                </c:rich>
              </c:tx>
              <c:spPr>
                <a:xfrm>
                  <a:off x="1921873" y="1666436"/>
                  <a:ext cx="2581667" cy="331837"/>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0536"/>
                        <a:gd name="adj2" fmla="val 2010"/>
                      </a:avLst>
                    </a:prstGeom>
                    <a:noFill/>
                    <a:ln>
                      <a:noFill/>
                    </a:ln>
                  </c15:spPr>
                  <c15:layout>
                    <c:manualLayout>
                      <c:w val="0.42449682804782007"/>
                      <c:h val="9.6505731401271125E-2"/>
                    </c:manualLayout>
                  </c15:layout>
                  <c15:dlblFieldTable/>
                  <c15:showDataLabelsRange val="0"/>
                </c:ext>
                <c:ext xmlns:c16="http://schemas.microsoft.com/office/drawing/2014/chart" uri="{C3380CC4-5D6E-409C-BE32-E72D297353CC}">
                  <c16:uniqueId val="{00000004-09C0-47B2-8248-E4308E52D927}"/>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'2026'!$B$10</c:f>
              <c:numCache>
                <c:formatCode>0.0</c:formatCode>
                <c:ptCount val="1"/>
                <c:pt idx="0">
                  <c:v>4550.2</c:v>
                </c:pt>
              </c:numCache>
            </c:numRef>
          </c:val>
          <c:extLst>
            <c:ext xmlns:c16="http://schemas.microsoft.com/office/drawing/2014/chart" uri="{C3380CC4-5D6E-409C-BE32-E72D297353CC}">
              <c16:uniqueId val="{00000005-09C0-47B2-8248-E4308E52D927}"/>
            </c:ext>
          </c:extLst>
        </c:ser>
        <c:ser>
          <c:idx val="3"/>
          <c:order val="3"/>
          <c:tx>
            <c:strRef>
              <c:f>'2026'!$A$11</c:f>
              <c:strCache>
                <c:ptCount val="1"/>
                <c:pt idx="0">
                  <c:v>Skolintos lėšos 1,2 mln. eurų</c:v>
                </c:pt>
              </c:strCache>
            </c:strRef>
          </c:tx>
          <c:spPr>
            <a:solidFill>
              <a:schemeClr val="accent6">
                <a:lumMod val="60000"/>
              </a:schemeClr>
            </a:solidFill>
            <a:ln>
              <a:noFill/>
            </a:ln>
            <a:effectLst/>
            <a:sp3d/>
          </c:spPr>
          <c:invertIfNegative val="0"/>
          <c:dLbls>
            <c:dLbl>
              <c:idx val="0"/>
              <c:layout>
                <c:manualLayout>
                  <c:x val="0.15442063773808462"/>
                  <c:y val="-7.93515884422569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392BF7E1-F55E-43C1-8DD8-55B1D4446D6E}" type="SERIESNAME">
                      <a:rPr lang="lt-LT" sz="1100" i="1" baseline="0">
                        <a:latin typeface="Times New Roman" panose="02020603050405020304" pitchFamily="18" charset="0"/>
                        <a:cs typeface="Times New Roman" panose="02020603050405020304" pitchFamily="18" charset="0"/>
                      </a:rPr>
                      <a:pPr>
                        <a:defRPr/>
                      </a:pPr>
                      <a:t>[SEKOS PAVADINIMAS]</a:t>
                    </a:fld>
                    <a:endParaRPr lang="en-US"/>
                  </a:p>
                </c:rich>
              </c:tx>
              <c:spPr>
                <a:xfrm>
                  <a:off x="1920206" y="1228838"/>
                  <a:ext cx="2241409" cy="358999"/>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8615"/>
                        <a:gd name="adj2" fmla="val -7693"/>
                      </a:avLst>
                    </a:prstGeom>
                    <a:noFill/>
                    <a:ln>
                      <a:noFill/>
                    </a:ln>
                  </c15:spPr>
                  <c15:layout>
                    <c:manualLayout>
                      <c:w val="0.36854899494452509"/>
                      <c:h val="0.10440517617737691"/>
                    </c:manualLayout>
                  </c15:layout>
                  <c15:dlblFieldTable/>
                  <c15:showDataLabelsRange val="0"/>
                </c:ext>
                <c:ext xmlns:c16="http://schemas.microsoft.com/office/drawing/2014/chart" uri="{C3380CC4-5D6E-409C-BE32-E72D297353CC}">
                  <c16:uniqueId val="{00000006-09C0-47B2-8248-E4308E52D927}"/>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'2026'!$B$11</c:f>
              <c:numCache>
                <c:formatCode>0.0</c:formatCode>
                <c:ptCount val="1"/>
                <c:pt idx="0">
                  <c:v>1227.8</c:v>
                </c:pt>
              </c:numCache>
            </c:numRef>
          </c:val>
          <c:extLst>
            <c:ext xmlns:c16="http://schemas.microsoft.com/office/drawing/2014/chart" uri="{C3380CC4-5D6E-409C-BE32-E72D297353CC}">
              <c16:uniqueId val="{00000007-09C0-47B2-8248-E4308E52D927}"/>
            </c:ext>
          </c:extLst>
        </c:ser>
        <c:ser>
          <c:idx val="4"/>
          <c:order val="4"/>
          <c:tx>
            <c:strRef>
              <c:f>'2026'!$A$12</c:f>
              <c:strCache>
                <c:ptCount val="1"/>
                <c:pt idx="0">
                  <c:v>Lėšų likučiai 6,2 mln. Eurų</c:v>
                </c:pt>
              </c:strCache>
            </c:strRef>
          </c:tx>
          <c:spPr>
            <a:solidFill>
              <a:schemeClr val="accent5">
                <a:lumMod val="60000"/>
              </a:schemeClr>
            </a:solidFill>
            <a:ln>
              <a:noFill/>
            </a:ln>
            <a:effectLst/>
            <a:sp3d/>
          </c:spPr>
          <c:invertIfNegative val="0"/>
          <c:dLbls>
            <c:dLbl>
              <c:idx val="0"/>
              <c:layout>
                <c:manualLayout>
                  <c:x val="4.6221270224359449E-2"/>
                  <c:y val="-9.8995034500248075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534EE457-5A45-4D76-B6BA-C84B9D9D776D}" type="SERIESNAME">
                      <a:rPr lang="lt-LT" sz="1100" i="1" baseline="0">
                        <a:latin typeface="Times New Roman" panose="02020603050405020304" pitchFamily="18" charset="0"/>
                        <a:cs typeface="Times New Roman" panose="02020603050405020304" pitchFamily="18" charset="0"/>
                      </a:rPr>
                      <a:pPr>
                        <a:defRPr/>
                      </a:pPr>
                      <a:t>[SEKOS PAVADINIMAS]</a:t>
                    </a:fld>
                    <a:endParaRPr lang="en-US"/>
                  </a:p>
                </c:rich>
              </c:tx>
              <c:spPr>
                <a:xfrm>
                  <a:off x="1915615" y="807517"/>
                  <a:ext cx="2498984" cy="331279"/>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9491"/>
                        <a:gd name="adj2" fmla="val 16697"/>
                      </a:avLst>
                    </a:prstGeom>
                    <a:noFill/>
                    <a:ln>
                      <a:noFill/>
                    </a:ln>
                  </c15:spPr>
                  <c15:layout>
                    <c:manualLayout>
                      <c:w val="0.41090148185488734"/>
                      <c:h val="9.6343360446239729E-2"/>
                    </c:manualLayout>
                  </c15:layout>
                  <c15:dlblFieldTable/>
                  <c15:showDataLabelsRange val="0"/>
                </c:ext>
                <c:ext xmlns:c16="http://schemas.microsoft.com/office/drawing/2014/chart" uri="{C3380CC4-5D6E-409C-BE32-E72D297353CC}">
                  <c16:uniqueId val="{00000008-09C0-47B2-8248-E4308E52D927}"/>
                </c:ext>
              </c:extLst>
            </c:dLbl>
            <c:spPr>
              <a:solidFill>
                <a:schemeClr val="bg1"/>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'2026'!$B$12</c:f>
              <c:numCache>
                <c:formatCode>0.0</c:formatCode>
                <c:ptCount val="1"/>
                <c:pt idx="0">
                  <c:v>6178.2</c:v>
                </c:pt>
              </c:numCache>
            </c:numRef>
          </c:val>
          <c:extLst>
            <c:ext xmlns:c16="http://schemas.microsoft.com/office/drawing/2014/chart" uri="{C3380CC4-5D6E-409C-BE32-E72D297353CC}">
              <c16:uniqueId val="{00000009-09C0-47B2-8248-E4308E52D927}"/>
            </c:ext>
          </c:extLst>
        </c:ser>
        <c:dLbls>
          <c:showLegendKey val="0"/>
          <c:showVal val="0"/>
          <c:showCatName val="0"/>
          <c:showSerName val="0"/>
          <c:showPercent val="0"/>
          <c:showBubbleSize val="0"/>
        </c:dLbls>
        <c:gapWidth val="150"/>
        <c:shape val="box"/>
        <c:axId val="490809384"/>
        <c:axId val="490808400"/>
        <c:axId val="0"/>
      </c:bar3DChart>
      <c:catAx>
        <c:axId val="490809384"/>
        <c:scaling>
          <c:orientation val="minMax"/>
        </c:scaling>
        <c:delete val="1"/>
        <c:axPos val="l"/>
        <c:numFmt formatCode="General" sourceLinked="1"/>
        <c:majorTickMark val="none"/>
        <c:minorTickMark val="none"/>
        <c:tickLblPos val="nextTo"/>
        <c:crossAx val="490808400"/>
        <c:crosses val="autoZero"/>
        <c:auto val="1"/>
        <c:lblAlgn val="ctr"/>
        <c:lblOffset val="100"/>
        <c:noMultiLvlLbl val="0"/>
      </c:catAx>
      <c:valAx>
        <c:axId val="490808400"/>
        <c:scaling>
          <c:orientation val="minMax"/>
        </c:scaling>
        <c:delete val="1"/>
        <c:axPos val="b"/>
        <c:numFmt formatCode="0.0" sourceLinked="1"/>
        <c:majorTickMark val="none"/>
        <c:minorTickMark val="none"/>
        <c:tickLblPos val="nextTo"/>
        <c:crossAx val="490809384"/>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39-44DC-963B-623D28BCA52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839-44DC-963B-623D28BCA52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839-44DC-963B-623D28BCA52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839-44DC-963B-623D28BCA52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839-44DC-963B-623D28BCA52A}"/>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A839-44DC-963B-623D28BCA52A}"/>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A839-44DC-963B-623D28BCA52A}"/>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A839-44DC-963B-623D28BCA52A}"/>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A839-44DC-963B-623D28BCA52A}"/>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3-A839-44DC-963B-623D28BCA52A}"/>
              </c:ext>
            </c:extLst>
          </c:dPt>
          <c:dLbls>
            <c:dLbl>
              <c:idx val="0"/>
              <c:layout>
                <c:manualLayout>
                  <c:x val="2.5396825396825397E-2"/>
                  <c:y val="2.0969852946842248E-2"/>
                </c:manualLayout>
              </c:layout>
              <c:tx>
                <c:rich>
                  <a:bodyPr/>
                  <a:lstStyle/>
                  <a:p>
                    <a:fld id="{45F53F0D-881E-4DCC-9250-30A17D47FB69}"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39-44DC-963B-623D28BCA52A}"/>
                </c:ext>
              </c:extLst>
            </c:dLbl>
            <c:dLbl>
              <c:idx val="1"/>
              <c:layout>
                <c:manualLayout>
                  <c:x val="6.7724867724867729E-2"/>
                  <c:y val="-2.796170052319133E-2"/>
                </c:manualLayout>
              </c:layout>
              <c:tx>
                <c:rich>
                  <a:bodyPr/>
                  <a:lstStyle/>
                  <a:p>
                    <a:fld id="{ABFF6894-7AD8-40E6-8D63-C7D2ADC12449}"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39-44DC-963B-623D28BCA52A}"/>
                </c:ext>
              </c:extLst>
            </c:dLbl>
            <c:dLbl>
              <c:idx val="2"/>
              <c:layout>
                <c:manualLayout>
                  <c:x val="3.8095238095238099E-2"/>
                  <c:y val="3.1457532331352643E-2"/>
                </c:manualLayout>
              </c:layout>
              <c:tx>
                <c:rich>
                  <a:bodyPr/>
                  <a:lstStyle/>
                  <a:p>
                    <a:fld id="{3939C9ED-DA34-4ADA-A8F8-EF20C33A265F}" type="CATEGORYNAME">
                      <a:rPr lang="lt-LT"/>
                      <a:pPr/>
                      <a:t>[KATEGORIJOS PAVADINIMAS]</a:t>
                    </a:fld>
                    <a:r>
                      <a:rPr lang="lt-LT"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39-44DC-963B-623D28BCA52A}"/>
                </c:ext>
              </c:extLst>
            </c:dLbl>
            <c:dLbl>
              <c:idx val="3"/>
              <c:layout>
                <c:manualLayout>
                  <c:x val="0"/>
                  <c:y val="2.7959803929122999E-2"/>
                </c:manualLayout>
              </c:layout>
              <c:tx>
                <c:rich>
                  <a:bodyPr/>
                  <a:lstStyle/>
                  <a:p>
                    <a:fld id="{6772FD7F-6814-4F9C-86DE-D2A6BB6D201A}" type="CATEGORYNAME">
                      <a:rPr lang="lt-LT"/>
                      <a:pPr/>
                      <a:t>[KATEGORIJOS PAVADINIMAS]</a:t>
                    </a:fld>
                    <a:r>
                      <a:rPr lang="lt-LT"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39-44DC-963B-623D28BCA52A}"/>
                </c:ext>
              </c:extLst>
            </c:dLbl>
            <c:dLbl>
              <c:idx val="4"/>
              <c:layout>
                <c:manualLayout>
                  <c:x val="6.3492063492063336E-2"/>
                  <c:y val="-7.3400908773156373E-2"/>
                </c:manualLayout>
              </c:layout>
              <c:tx>
                <c:rich>
                  <a:bodyPr/>
                  <a:lstStyle/>
                  <a:p>
                    <a:fld id="{986BA703-735F-4F3C-8CF8-47A93F1AE820}"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39-44DC-963B-623D28BCA52A}"/>
                </c:ext>
              </c:extLst>
            </c:dLbl>
            <c:dLbl>
              <c:idx val="5"/>
              <c:layout>
                <c:manualLayout>
                  <c:x val="0.10582010582010581"/>
                  <c:y val="3.495281370150297E-3"/>
                </c:manualLayout>
              </c:layout>
              <c:tx>
                <c:rich>
                  <a:bodyPr/>
                  <a:lstStyle/>
                  <a:p>
                    <a:fld id="{0616D015-8437-4700-AC9B-F7247510502A}"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839-44DC-963B-623D28BCA52A}"/>
                </c:ext>
              </c:extLst>
            </c:dLbl>
            <c:dLbl>
              <c:idx val="6"/>
              <c:layout>
                <c:manualLayout>
                  <c:x val="4.232804232804155E-3"/>
                  <c:y val="5.5919607858245866E-2"/>
                </c:manualLayout>
              </c:layout>
              <c:tx>
                <c:rich>
                  <a:bodyPr/>
                  <a:lstStyle/>
                  <a:p>
                    <a:fld id="{E0A83609-2198-4312-91EE-030EB56A4C3D}"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839-44DC-963B-623D28BCA52A}"/>
                </c:ext>
              </c:extLst>
            </c:dLbl>
            <c:dLbl>
              <c:idx val="7"/>
              <c:layout>
                <c:manualLayout>
                  <c:x val="-6.7724867724867729E-2"/>
                  <c:y val="-4.1939705893684627E-2"/>
                </c:manualLayout>
              </c:layout>
              <c:tx>
                <c:rich>
                  <a:bodyPr/>
                  <a:lstStyle/>
                  <a:p>
                    <a:fld id="{99525EB1-3A93-4AE0-953C-CDCDA785CDAD}"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839-44DC-963B-623D28BCA52A}"/>
                </c:ext>
              </c:extLst>
            </c:dLbl>
            <c:dLbl>
              <c:idx val="8"/>
              <c:layout>
                <c:manualLayout>
                  <c:x val="-0.14603174603174604"/>
                  <c:y val="3.1455330579308487E-2"/>
                </c:manualLayout>
              </c:layout>
              <c:tx>
                <c:rich>
                  <a:bodyPr/>
                  <a:lstStyle/>
                  <a:p>
                    <a:fld id="{D12835D9-6B5A-4224-BEAD-C71B1F0BD71F}"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839-44DC-963B-623D28BCA52A}"/>
                </c:ext>
              </c:extLst>
            </c:dLbl>
            <c:dLbl>
              <c:idx val="9"/>
              <c:tx>
                <c:rich>
                  <a:bodyPr/>
                  <a:lstStyle/>
                  <a:p>
                    <a:fld id="{61E3FCE5-0D01-4A14-8D39-699F65A2C921}" type="CATEGORYNAME">
                      <a:rPr lang="en-US"/>
                      <a:pPr/>
                      <a:t>[KATEGORIJOS PAVADINIMAS]</a:t>
                    </a:fld>
                    <a:r>
                      <a:rPr lang="en-US" baseline="0"/>
                      <a:t> proc.</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839-44DC-963B-623D28BCA52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'2026'!$A$31:$A$40</c:f>
              <c:strCache>
                <c:ptCount val="10"/>
                <c:pt idx="0">
                  <c:v>Bendrajai programai 8,9</c:v>
                </c:pt>
                <c:pt idx="1">
                  <c:v>Seniūnijoms 4,7</c:v>
                </c:pt>
                <c:pt idx="2">
                  <c:v>Žemės ūkiui 1,0</c:v>
                </c:pt>
                <c:pt idx="3">
                  <c:v>Strateginio planavimo ir investicijų programai 13,6</c:v>
                </c:pt>
                <c:pt idx="4">
                  <c:v>Vietiniam ūkiui ir turtui valdyti 12,4</c:v>
                </c:pt>
                <c:pt idx="5">
                  <c:v>Sveikatos apsaugai 0,9</c:v>
                </c:pt>
                <c:pt idx="6">
                  <c:v>Kultūrai 6,0</c:v>
                </c:pt>
                <c:pt idx="7">
                  <c:v>Švietimui 39,7</c:v>
                </c:pt>
                <c:pt idx="8">
                  <c:v>Socialinei paramai 10,5</c:v>
                </c:pt>
                <c:pt idx="9">
                  <c:v>Kitoms programoms 2,3</c:v>
                </c:pt>
              </c:strCache>
            </c:strRef>
          </c:cat>
          <c:val>
            <c:numRef>
              <c:f>'2026'!$B$31:$B$40</c:f>
              <c:numCache>
                <c:formatCode>0.0</c:formatCode>
                <c:ptCount val="10"/>
                <c:pt idx="0">
                  <c:v>8.9</c:v>
                </c:pt>
                <c:pt idx="1">
                  <c:v>4.7</c:v>
                </c:pt>
                <c:pt idx="2">
                  <c:v>1</c:v>
                </c:pt>
                <c:pt idx="3">
                  <c:v>13.6</c:v>
                </c:pt>
                <c:pt idx="4">
                  <c:v>12.4</c:v>
                </c:pt>
                <c:pt idx="5">
                  <c:v>0.9</c:v>
                </c:pt>
                <c:pt idx="6">
                  <c:v>6</c:v>
                </c:pt>
                <c:pt idx="7">
                  <c:v>39.700000000000003</c:v>
                </c:pt>
                <c:pt idx="8">
                  <c:v>10.5</c:v>
                </c:pt>
                <c:pt idx="9">
                  <c:v>2.2999999999999998</c:v>
                </c:pt>
              </c:numCache>
            </c:numRef>
          </c:val>
          <c:extLst>
            <c:ext xmlns:c16="http://schemas.microsoft.com/office/drawing/2014/chart" uri="{C3380CC4-5D6E-409C-BE32-E72D297353CC}">
              <c16:uniqueId val="{00000014-A839-44DC-963B-623D28BCA52A}"/>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9FAB-5240-4856-9B52-A6F371FE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1917</Words>
  <Characters>10931</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Rita Kasparavičiūtė</cp:lastModifiedBy>
  <cp:revision>2</cp:revision>
  <cp:lastPrinted>2025-02-06T08:20:00Z</cp:lastPrinted>
  <dcterms:created xsi:type="dcterms:W3CDTF">2026-01-21T12:29:00Z</dcterms:created>
  <dcterms:modified xsi:type="dcterms:W3CDTF">2026-01-21T12:29:00Z</dcterms:modified>
</cp:coreProperties>
</file>