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E3B2" w14:textId="77777777" w:rsidR="00FF2E76" w:rsidRPr="00B0179A" w:rsidRDefault="00FF2E76" w:rsidP="00FF2E76">
      <w:pPr>
        <w:jc w:val="center"/>
        <w:rPr>
          <w:b/>
          <w:caps/>
        </w:rPr>
      </w:pPr>
      <w:r w:rsidRPr="00B0179A">
        <w:rPr>
          <w:b/>
          <w:caps/>
        </w:rPr>
        <w:t>Aiškinamasis raštas</w:t>
      </w:r>
    </w:p>
    <w:p w14:paraId="20E7F9AF" w14:textId="77777777" w:rsidR="00FF2E76" w:rsidRPr="00626359" w:rsidRDefault="00FF2E76" w:rsidP="00FF2E76">
      <w:pPr>
        <w:jc w:val="center"/>
        <w:rPr>
          <w:b/>
          <w:bCs/>
        </w:rPr>
      </w:pPr>
      <w:r w:rsidRPr="00626359">
        <w:rPr>
          <w:b/>
          <w:bCs/>
        </w:rPr>
        <w:t>PRIE KRETINGOS RAJONO SAVIVALDYBĖS TARYBOS SPRENDIMO PROJEKTO</w:t>
      </w:r>
      <w:r>
        <w:rPr>
          <w:b/>
          <w:bCs/>
        </w:rPr>
        <w:t xml:space="preserve"> „</w:t>
      </w:r>
      <w:r w:rsidRPr="00B0179A">
        <w:rPr>
          <w:b/>
          <w:bCs/>
        </w:rPr>
        <w:t>DĖL KRETINGOS RAJONO SAVIVALDYBĖS TARYBOS 202</w:t>
      </w:r>
      <w:r>
        <w:rPr>
          <w:b/>
          <w:bCs/>
        </w:rPr>
        <w:t>4</w:t>
      </w:r>
      <w:r w:rsidRPr="00B0179A">
        <w:rPr>
          <w:b/>
          <w:bCs/>
        </w:rPr>
        <w:t xml:space="preserve"> M. </w:t>
      </w:r>
      <w:r>
        <w:rPr>
          <w:b/>
          <w:bCs/>
        </w:rPr>
        <w:t>RUGSĖJ</w:t>
      </w:r>
      <w:r w:rsidRPr="00B0179A">
        <w:rPr>
          <w:b/>
          <w:bCs/>
        </w:rPr>
        <w:t xml:space="preserve">O </w:t>
      </w:r>
      <w:r>
        <w:rPr>
          <w:b/>
          <w:bCs/>
        </w:rPr>
        <w:t>26</w:t>
      </w:r>
      <w:r w:rsidRPr="00B0179A">
        <w:rPr>
          <w:b/>
          <w:bCs/>
        </w:rPr>
        <w:t xml:space="preserve"> D. SPRENDIMO NR. T2-</w:t>
      </w:r>
      <w:r>
        <w:rPr>
          <w:b/>
          <w:bCs/>
        </w:rPr>
        <w:t>341</w:t>
      </w:r>
      <w:r w:rsidRPr="00B0179A">
        <w:rPr>
          <w:b/>
          <w:bCs/>
        </w:rPr>
        <w:t xml:space="preserve"> „DĖL UAB KRETINGOS ŠILUMOS TINKLŲ 202</w:t>
      </w:r>
      <w:r>
        <w:rPr>
          <w:b/>
          <w:bCs/>
        </w:rPr>
        <w:t>5–</w:t>
      </w:r>
      <w:r w:rsidRPr="00B0179A">
        <w:rPr>
          <w:b/>
          <w:bCs/>
        </w:rPr>
        <w:t>202</w:t>
      </w:r>
      <w:r>
        <w:rPr>
          <w:b/>
          <w:bCs/>
        </w:rPr>
        <w:t>6</w:t>
      </w:r>
      <w:r w:rsidRPr="00B0179A">
        <w:rPr>
          <w:b/>
          <w:bCs/>
        </w:rPr>
        <w:t xml:space="preserve"> METŲ INVESTICIJŲ PLANO DERINIMO“ PAKEITIMO</w:t>
      </w:r>
      <w:r>
        <w:rPr>
          <w:b/>
          <w:bCs/>
        </w:rPr>
        <w:t>“</w:t>
      </w:r>
    </w:p>
    <w:p w14:paraId="7E627621" w14:textId="77777777" w:rsidR="00FF2E76" w:rsidRPr="0017395B" w:rsidRDefault="00FF2E76" w:rsidP="00FF2E76">
      <w:pPr>
        <w:jc w:val="center"/>
      </w:pPr>
    </w:p>
    <w:p w14:paraId="225ABBBD" w14:textId="77777777" w:rsidR="00FF2E76" w:rsidRPr="00B0179A" w:rsidRDefault="00FF2E76" w:rsidP="00FF2E76">
      <w:pPr>
        <w:jc w:val="center"/>
        <w:rPr>
          <w:caps/>
        </w:rPr>
      </w:pPr>
      <w:r w:rsidRPr="00B0179A">
        <w:t>202</w:t>
      </w:r>
      <w:r>
        <w:t>5</w:t>
      </w:r>
      <w:r w:rsidRPr="00B0179A">
        <w:t xml:space="preserve"> m. </w:t>
      </w:r>
      <w:r>
        <w:t>lapkričio</w:t>
      </w:r>
      <w:r w:rsidRPr="00B0179A">
        <w:t xml:space="preserve"> 1</w:t>
      </w:r>
      <w:r>
        <w:t>3</w:t>
      </w:r>
      <w:r w:rsidRPr="00B0179A">
        <w:t xml:space="preserve"> d.</w:t>
      </w:r>
    </w:p>
    <w:p w14:paraId="0DE0FCEF" w14:textId="77777777" w:rsidR="00FF2E76" w:rsidRPr="00B0179A" w:rsidRDefault="00FF2E76" w:rsidP="00FF2E76">
      <w:pPr>
        <w:jc w:val="center"/>
        <w:rPr>
          <w:b/>
        </w:rPr>
      </w:pPr>
      <w:r w:rsidRPr="00B0179A">
        <w:t>Kretinga</w:t>
      </w:r>
    </w:p>
    <w:p w14:paraId="0B5403F1" w14:textId="77777777" w:rsidR="00FF2E76" w:rsidRPr="0017395B" w:rsidRDefault="00FF2E76" w:rsidP="00FF2E76">
      <w:pPr>
        <w:rPr>
          <w:bCs/>
        </w:rPr>
      </w:pPr>
    </w:p>
    <w:p w14:paraId="3127E0FC" w14:textId="77777777" w:rsidR="00FF2E76" w:rsidRPr="00147BAB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5852EA">
        <w:rPr>
          <w:rFonts w:ascii="Times New Roman" w:hAnsi="Times New Roman"/>
          <w:b/>
        </w:rPr>
        <w:t>Parengto sprendimo projekto tikslas ir uždaviniai.</w:t>
      </w:r>
    </w:p>
    <w:p w14:paraId="61EEF25F" w14:textId="77777777" w:rsidR="00FF2E76" w:rsidRPr="00B0179A" w:rsidRDefault="00FF2E76" w:rsidP="00FF2E76">
      <w:pPr>
        <w:ind w:firstLine="720"/>
        <w:jc w:val="both"/>
      </w:pPr>
      <w:r w:rsidRPr="00B0179A">
        <w:t>Pa</w:t>
      </w:r>
      <w:r>
        <w:t>keisti</w:t>
      </w:r>
      <w:r w:rsidRPr="00B0179A">
        <w:t xml:space="preserve"> UAB Kretingos šilumos tinklų 202</w:t>
      </w:r>
      <w:r>
        <w:t>5</w:t>
      </w:r>
      <w:r w:rsidRPr="00B0179A">
        <w:t>–202</w:t>
      </w:r>
      <w:r>
        <w:t>6</w:t>
      </w:r>
      <w:r w:rsidRPr="00B0179A">
        <w:t xml:space="preserve"> metų investicijų planą, suderintą Kretingos rajono savivaldybės tarybos 202</w:t>
      </w:r>
      <w:r>
        <w:t>4</w:t>
      </w:r>
      <w:r w:rsidRPr="00B0179A">
        <w:t xml:space="preserve"> m. </w:t>
      </w:r>
      <w:r>
        <w:t>rugsėjo</w:t>
      </w:r>
      <w:r w:rsidRPr="00B0179A">
        <w:t xml:space="preserve"> </w:t>
      </w:r>
      <w:r>
        <w:t>26</w:t>
      </w:r>
      <w:r w:rsidRPr="00B0179A">
        <w:t xml:space="preserve"> d. sprendimu Nr. T2-</w:t>
      </w:r>
      <w:r>
        <w:t>3</w:t>
      </w:r>
      <w:r w:rsidRPr="00B0179A">
        <w:t>4</w:t>
      </w:r>
      <w:r>
        <w:t>1</w:t>
      </w:r>
      <w:r w:rsidRPr="00B0179A">
        <w:t xml:space="preserve"> „Dėl UAB Kretingos šilumos tinklų 202</w:t>
      </w:r>
      <w:r>
        <w:t>5–</w:t>
      </w:r>
      <w:r w:rsidRPr="00B0179A">
        <w:t>202</w:t>
      </w:r>
      <w:r>
        <w:t>6</w:t>
      </w:r>
      <w:r w:rsidRPr="00B0179A">
        <w:t xml:space="preserve"> metų investicijų plano derinimo“.</w:t>
      </w:r>
    </w:p>
    <w:p w14:paraId="26D503A6" w14:textId="77777777" w:rsidR="00FF2E76" w:rsidRPr="00147BAB" w:rsidRDefault="00FF2E76" w:rsidP="00FF2E76">
      <w:pPr>
        <w:widowControl/>
        <w:suppressAutoHyphens w:val="0"/>
        <w:ind w:firstLine="720"/>
        <w:jc w:val="both"/>
        <w:rPr>
          <w:b/>
        </w:rPr>
      </w:pPr>
      <w:r w:rsidRPr="00147BAB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4F9C8AD" w14:textId="77777777" w:rsidR="00FF2E76" w:rsidRDefault="00FF2E76" w:rsidP="00FF2E76">
      <w:pPr>
        <w:ind w:firstLine="720"/>
        <w:jc w:val="both"/>
      </w:pPr>
      <w:r w:rsidRPr="00B0179A">
        <w:t>Lietuvos Respublikos šilumos ūkio įstatymo 35 straipsn</w:t>
      </w:r>
      <w:r>
        <w:t>yje nustatyta, kad š</w:t>
      </w:r>
      <w:r w:rsidRPr="004F7E0A">
        <w:t xml:space="preserve">ilumos tiekėjų investicijos derinamos su savivaldybės institucija ir </w:t>
      </w:r>
      <w:r>
        <w:t>Valstybine energetikos reguliavimo t</w:t>
      </w:r>
      <w:r w:rsidRPr="004F7E0A">
        <w:t>aryba</w:t>
      </w:r>
      <w:bookmarkStart w:id="0" w:name="n44cdb35daba4437f84f5ba81ea90024e"/>
      <w:r>
        <w:t xml:space="preserve"> Lietuvos Respublikos </w:t>
      </w:r>
      <w:hyperlink r:id="rId6" w:tgtFrame="_blank" w:tooltip="Lietuvos Respublikos energetikos įstatymas" w:history="1">
        <w:r w:rsidRPr="004F7E0A">
          <w:rPr>
            <w:rStyle w:val="Hipersaitas"/>
            <w:color w:val="auto"/>
            <w:u w:val="none"/>
          </w:rPr>
          <w:t>energetikos įstatymo</w:t>
        </w:r>
      </w:hyperlink>
      <w:bookmarkStart w:id="1" w:name="n4b6f5dce12fe4af2923d3f8c999d74e4"/>
      <w:bookmarkEnd w:id="0"/>
      <w:r>
        <w:t xml:space="preserve"> </w:t>
      </w:r>
      <w:hyperlink r:id="rId7" w:tooltip="Energetikos objektų, įrenginių statyba, plėtra ir rekonstrukcija (str. 15)" w:history="1">
        <w:r w:rsidRPr="004F7E0A">
          <w:rPr>
            <w:rStyle w:val="Hipersaitas"/>
            <w:color w:val="auto"/>
            <w:u w:val="none"/>
          </w:rPr>
          <w:t>15</w:t>
        </w:r>
      </w:hyperlink>
      <w:bookmarkEnd w:id="1"/>
      <w:r>
        <w:t xml:space="preserve"> </w:t>
      </w:r>
      <w:r w:rsidRPr="004F7E0A">
        <w:t>straipsnyje nustatyta tvarka</w:t>
      </w:r>
      <w:r>
        <w:t xml:space="preserve">. </w:t>
      </w:r>
      <w:r w:rsidRPr="004F7E0A">
        <w:t xml:space="preserve">Energetikos įmonės, kurios verčiasi veikla, kurios kainos yra reguliuojamos, numatomas investicijas turi derinti su </w:t>
      </w:r>
      <w:r>
        <w:t>Valstybine energetikos reguliavimo t</w:t>
      </w:r>
      <w:r w:rsidRPr="004F7E0A">
        <w:t xml:space="preserve">aryba. Jeigu šios energetikos įmonių investicijos nėra suderintos su </w:t>
      </w:r>
      <w:r>
        <w:t>Valstybine energetikos reguliavimo ta</w:t>
      </w:r>
      <w:r w:rsidRPr="004F7E0A">
        <w:t>ryba, jos negali būti pripažintos pagrįstomis valstybės reguliuojamoms kainoms peržiūrėti.</w:t>
      </w:r>
    </w:p>
    <w:p w14:paraId="0D9478BB" w14:textId="77777777" w:rsidR="00FF2E76" w:rsidRPr="00B0179A" w:rsidRDefault="00FF2E76" w:rsidP="00FF2E76">
      <w:pPr>
        <w:ind w:firstLine="720"/>
        <w:jc w:val="both"/>
      </w:pPr>
      <w:r w:rsidRPr="00B0179A">
        <w:t>UAB Kretingos šilumos tinklai (toliau – Bendrovė) 202</w:t>
      </w:r>
      <w:r>
        <w:t>5</w:t>
      </w:r>
      <w:r w:rsidRPr="00B0179A">
        <w:t xml:space="preserve"> m. </w:t>
      </w:r>
      <w:r>
        <w:t>spalio</w:t>
      </w:r>
      <w:r w:rsidRPr="00B0179A">
        <w:t xml:space="preserve"> 3</w:t>
      </w:r>
      <w:r>
        <w:t>0</w:t>
      </w:r>
      <w:r w:rsidRPr="00B0179A">
        <w:t xml:space="preserve"> d. rašt</w:t>
      </w:r>
      <w:r>
        <w:t>u</w:t>
      </w:r>
      <w:r w:rsidRPr="00B0179A">
        <w:t xml:space="preserve"> </w:t>
      </w:r>
      <w:r w:rsidRPr="00B0179A">
        <w:rPr>
          <w:spacing w:val="5"/>
        </w:rPr>
        <w:t>Nr. R2-</w:t>
      </w:r>
      <w:r>
        <w:rPr>
          <w:spacing w:val="5"/>
        </w:rPr>
        <w:t>194</w:t>
      </w:r>
      <w:r w:rsidRPr="00B0179A">
        <w:rPr>
          <w:spacing w:val="5"/>
        </w:rPr>
        <w:t xml:space="preserve"> „</w:t>
      </w:r>
      <w:r w:rsidRPr="00A62AA5">
        <w:t>Dėl 2025–2026 metų koreguoto investicijų plano derinimo“</w:t>
      </w:r>
      <w:r w:rsidRPr="00B0179A">
        <w:t xml:space="preserve"> pateikė Kretingos rajono savivaldyb</w:t>
      </w:r>
      <w:r>
        <w:t>ei</w:t>
      </w:r>
      <w:r w:rsidRPr="00B0179A">
        <w:t xml:space="preserve"> </w:t>
      </w:r>
      <w:r>
        <w:t xml:space="preserve">prašymą </w:t>
      </w:r>
      <w:r w:rsidRPr="00B0179A">
        <w:t>derinti koreguotą 202</w:t>
      </w:r>
      <w:r>
        <w:t>5</w:t>
      </w:r>
      <w:r w:rsidRPr="00B0179A">
        <w:t>–202</w:t>
      </w:r>
      <w:r>
        <w:t>6</w:t>
      </w:r>
      <w:r w:rsidRPr="00B0179A">
        <w:t xml:space="preserve"> metų investicijų planą.</w:t>
      </w:r>
    </w:p>
    <w:p w14:paraId="13E85648" w14:textId="77777777" w:rsidR="00FF2E76" w:rsidRPr="00B0179A" w:rsidRDefault="00FF2E76" w:rsidP="00FF2E76">
      <w:pPr>
        <w:ind w:firstLine="720"/>
        <w:jc w:val="both"/>
        <w:rPr>
          <w:spacing w:val="5"/>
        </w:rPr>
      </w:pPr>
      <w:r w:rsidRPr="00B0179A">
        <w:t>Bendrovė prašo Kretingos rajono savivaldybės tarybos 202</w:t>
      </w:r>
      <w:r>
        <w:t>4</w:t>
      </w:r>
      <w:r w:rsidRPr="00B0179A">
        <w:t xml:space="preserve"> m. </w:t>
      </w:r>
      <w:r>
        <w:t>rugsėjo 26</w:t>
      </w:r>
      <w:r w:rsidRPr="00B0179A">
        <w:t xml:space="preserve"> d. sprendimu </w:t>
      </w:r>
      <w:r>
        <w:br/>
      </w:r>
      <w:r w:rsidRPr="00B0179A">
        <w:t>Nr.</w:t>
      </w:r>
      <w:r>
        <w:t xml:space="preserve"> </w:t>
      </w:r>
      <w:r w:rsidRPr="00B0179A">
        <w:t>T2-</w:t>
      </w:r>
      <w:r>
        <w:t>3</w:t>
      </w:r>
      <w:r w:rsidRPr="00B0179A">
        <w:t>4</w:t>
      </w:r>
      <w:r>
        <w:t>1</w:t>
      </w:r>
      <w:r w:rsidRPr="00B0179A">
        <w:t xml:space="preserve"> suderintą investicijų planą papildyti </w:t>
      </w:r>
      <w:r>
        <w:t>n</w:t>
      </w:r>
      <w:r w:rsidRPr="00B0179A">
        <w:t>auj</w:t>
      </w:r>
      <w:r>
        <w:t>o</w:t>
      </w:r>
      <w:r w:rsidRPr="00B0179A">
        <w:t>mis investicijomis</w:t>
      </w:r>
      <w:r>
        <w:t xml:space="preserve"> bei</w:t>
      </w:r>
      <w:r w:rsidRPr="00B0179A">
        <w:t xml:space="preserve"> koreguoti</w:t>
      </w:r>
      <w:r>
        <w:t xml:space="preserve"> kai kurių</w:t>
      </w:r>
      <w:r w:rsidRPr="00B0179A">
        <w:t xml:space="preserve"> suderintų investicijų </w:t>
      </w:r>
      <w:r>
        <w:t>pobūdį, apimtį ir</w:t>
      </w:r>
      <w:r w:rsidRPr="00B0179A">
        <w:t xml:space="preserve"> finansavimo šaltin</w:t>
      </w:r>
      <w:r>
        <w:t>į</w:t>
      </w:r>
      <w:r w:rsidRPr="00B0179A">
        <w:t>.</w:t>
      </w:r>
    </w:p>
    <w:tbl>
      <w:tblPr>
        <w:tblW w:w="9634" w:type="dxa"/>
        <w:jc w:val="right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276"/>
        <w:gridCol w:w="1417"/>
      </w:tblGrid>
      <w:tr w:rsidR="00FF2E76" w:rsidRPr="00B0179A" w14:paraId="177A158B" w14:textId="77777777" w:rsidTr="005F534C">
        <w:trPr>
          <w:trHeight w:val="286"/>
          <w:jc w:val="right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342D269" w14:textId="77777777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Investicijos pavadinimas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58EE035" w14:textId="77777777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Investicijos vertė tūkst. Eur be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53C37D5" w14:textId="77777777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Metai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236B368" w14:textId="77777777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Lėšų šaltinis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78D6C21" w14:textId="77777777" w:rsidR="00FF2E76" w:rsidRPr="00F22560" w:rsidRDefault="00FF2E76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F22560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Derinamų investicijų įtaka šilumos kainai, ct/kWh (vidutiniškai)</w:t>
            </w:r>
          </w:p>
        </w:tc>
      </w:tr>
      <w:tr w:rsidR="0017395B" w:rsidRPr="00B0179A" w14:paraId="3814F8B1" w14:textId="77777777" w:rsidTr="0017395B">
        <w:trPr>
          <w:trHeight w:val="286"/>
          <w:jc w:val="right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C6D2C" w14:textId="18C30CD6" w:rsidR="0017395B" w:rsidRPr="00F22560" w:rsidRDefault="0017395B" w:rsidP="005F534C">
            <w:pPr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Papildomos naujos investicijos</w:t>
            </w:r>
          </w:p>
        </w:tc>
      </w:tr>
      <w:tr w:rsidR="0017395B" w:rsidRPr="00B0179A" w14:paraId="3D7FED98" w14:textId="77777777" w:rsidTr="00484D24">
        <w:trPr>
          <w:trHeight w:val="230"/>
          <w:jc w:val="right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6A061" w14:textId="1A62F89C" w:rsidR="0017395B" w:rsidRPr="00B0179A" w:rsidRDefault="0017395B" w:rsidP="0017395B">
            <w:pPr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  <w:r w:rsidRPr="009405B7">
              <w:rPr>
                <w:rFonts w:eastAsia="Times New Roman"/>
                <w:sz w:val="22"/>
                <w:szCs w:val="22"/>
                <w:lang w:eastAsia="lt-LT"/>
              </w:rPr>
              <w:t>Žmogiškųjų resursų apskaitos ir valdymo sistema (Profit-WEB)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9CC8" w14:textId="61E849E4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11D9">
              <w:rPr>
                <w:rFonts w:eastAsia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25B93" w14:textId="2767AC23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01C13" w14:textId="4F437B4D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nuosavos lėšos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E08A" w14:textId="6ADE28D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+</w:t>
            </w:r>
            <w:r w:rsidRPr="00B0179A">
              <w:rPr>
                <w:rFonts w:eastAsia="Times New Roman"/>
                <w:color w:val="000000"/>
                <w:sz w:val="20"/>
                <w:szCs w:val="20"/>
              </w:rPr>
              <w:t>0,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0028</w:t>
            </w:r>
          </w:p>
        </w:tc>
      </w:tr>
      <w:tr w:rsidR="0017395B" w:rsidRPr="00B0179A" w14:paraId="3871B598" w14:textId="77777777" w:rsidTr="00484D24">
        <w:trPr>
          <w:trHeight w:val="253"/>
          <w:jc w:val="right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F9A3C3" w14:textId="77777777" w:rsidR="0017395B" w:rsidRPr="00F22560" w:rsidRDefault="0017395B" w:rsidP="0017395B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DD0B9A">
              <w:rPr>
                <w:rFonts w:eastAsia="Times New Roman"/>
                <w:sz w:val="22"/>
                <w:szCs w:val="22"/>
                <w:lang w:eastAsia="lt-LT"/>
              </w:rPr>
              <w:t>Prekybos pastato su viešbučio patalpomis, Žemaičių g. 3, Kretinga, prijungimas prie CŠT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20C536B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11D9">
              <w:rPr>
                <w:rFonts w:eastAsia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DE91911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273A248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nuosavos lėšos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925566F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+0,0033</w:t>
            </w:r>
          </w:p>
        </w:tc>
      </w:tr>
      <w:tr w:rsidR="0017395B" w:rsidRPr="00B0179A" w14:paraId="72108CEC" w14:textId="77777777" w:rsidTr="00484D24">
        <w:trPr>
          <w:trHeight w:val="230"/>
          <w:jc w:val="right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056D1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7E86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920D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DF7B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3499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5EEAD40D" w14:textId="77777777" w:rsidTr="00D83C51">
        <w:trPr>
          <w:trHeight w:val="230"/>
          <w:jc w:val="right"/>
        </w:trPr>
        <w:tc>
          <w:tcPr>
            <w:tcW w:w="96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C685" w14:textId="5802CC78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Koreguojamos </w:t>
            </w:r>
            <w:r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investicijos</w:t>
            </w:r>
          </w:p>
        </w:tc>
      </w:tr>
      <w:tr w:rsidR="0017395B" w:rsidRPr="00B0179A" w14:paraId="55C72E80" w14:textId="77777777" w:rsidTr="005F534C">
        <w:trPr>
          <w:trHeight w:val="276"/>
          <w:jc w:val="right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FB348A" w14:textId="77777777" w:rsidR="0017395B" w:rsidRPr="00B0179A" w:rsidRDefault="0017395B" w:rsidP="0017395B">
            <w:pPr>
              <w:rPr>
                <w:rFonts w:eastAsia="Calibri"/>
              </w:rPr>
            </w:pPr>
            <w:r w:rsidRPr="00DD0B9A">
              <w:rPr>
                <w:rFonts w:eastAsia="Times New Roman"/>
                <w:sz w:val="22"/>
                <w:szCs w:val="22"/>
                <w:lang w:eastAsia="lt-LT"/>
              </w:rPr>
              <w:t>Grūšlaukės katilinės CŠT decentralizavimas įrengiant šilumos siurblius pastatuose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31B873E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11D9">
              <w:rPr>
                <w:rFonts w:eastAsia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2205221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CFB9874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skolintos lėšos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B145328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-0,0026</w:t>
            </w:r>
          </w:p>
        </w:tc>
      </w:tr>
      <w:tr w:rsidR="0017395B" w:rsidRPr="00B0179A" w14:paraId="745CB390" w14:textId="77777777" w:rsidTr="005F534C">
        <w:trPr>
          <w:trHeight w:val="240"/>
          <w:jc w:val="right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FBFD6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F5EB0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8000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2F6F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67F9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4AFA8920" w14:textId="77777777" w:rsidTr="005F534C">
        <w:trPr>
          <w:trHeight w:val="230"/>
          <w:jc w:val="right"/>
        </w:trPr>
        <w:tc>
          <w:tcPr>
            <w:tcW w:w="439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61A21C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22560">
              <w:rPr>
                <w:rFonts w:eastAsia="Times New Roman"/>
                <w:sz w:val="22"/>
                <w:szCs w:val="22"/>
                <w:lang w:eastAsia="lt-LT"/>
              </w:rPr>
              <w:t>Atsiskaitomųjų šilumos apskaitos prietaisų su nuotolinio duomenų nuskaitymo funkcija įrengimas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94DD51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C11D9">
              <w:rPr>
                <w:rFonts w:eastAsia="Times New Roman"/>
                <w:color w:val="000000"/>
                <w:sz w:val="20"/>
                <w:szCs w:val="20"/>
              </w:rPr>
              <w:t>53,25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FB61C4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6E26110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2560">
              <w:rPr>
                <w:rFonts w:eastAsia="Times New Roman"/>
                <w:color w:val="000000"/>
                <w:sz w:val="20"/>
                <w:szCs w:val="20"/>
              </w:rPr>
              <w:t>ES fondų ir nuosavos lėšos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5B279E2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-0,0009</w:t>
            </w:r>
          </w:p>
        </w:tc>
      </w:tr>
      <w:tr w:rsidR="0017395B" w:rsidRPr="00B0179A" w14:paraId="3F47F1F4" w14:textId="77777777" w:rsidTr="005F534C">
        <w:trPr>
          <w:trHeight w:val="276"/>
          <w:jc w:val="right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B690B" w14:textId="77777777" w:rsidR="0017395B" w:rsidRPr="00B0179A" w:rsidRDefault="0017395B" w:rsidP="0017395B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8B5D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2362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5413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1ED6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5B775505" w14:textId="77777777" w:rsidTr="005F534C">
        <w:trPr>
          <w:trHeight w:val="276"/>
          <w:jc w:val="right"/>
        </w:trPr>
        <w:tc>
          <w:tcPr>
            <w:tcW w:w="439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19E68C" w14:textId="77777777" w:rsidR="0017395B" w:rsidRPr="00B0179A" w:rsidRDefault="0017395B" w:rsidP="0017395B">
            <w:pPr>
              <w:rPr>
                <w:rFonts w:eastAsia="Calibri"/>
                <w:b/>
                <w:bCs/>
              </w:rPr>
            </w:pPr>
            <w:r w:rsidRPr="00F22560">
              <w:rPr>
                <w:rFonts w:eastAsia="Times New Roman"/>
                <w:sz w:val="22"/>
                <w:szCs w:val="22"/>
                <w:lang w:eastAsia="lt-LT"/>
              </w:rPr>
              <w:t>Katilinės Nr. 3 CŠT praplėtimas, prijungiant Salantų seniūniją ir gyvenamą namą M. Valančiaus g. 7, Salantai”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AAE5895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D893029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095B2D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nuosavos ir skolintos lėšos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8FBB5B9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-0,0046</w:t>
            </w:r>
          </w:p>
        </w:tc>
      </w:tr>
      <w:tr w:rsidR="0017395B" w:rsidRPr="00B0179A" w14:paraId="090DBF6E" w14:textId="77777777" w:rsidTr="005F534C">
        <w:trPr>
          <w:trHeight w:val="276"/>
          <w:jc w:val="right"/>
        </w:trPr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05805A" w14:textId="77777777" w:rsidR="0017395B" w:rsidRPr="00F22560" w:rsidRDefault="0017395B" w:rsidP="0017395B">
            <w:pPr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19C6E0" w14:textId="77777777" w:rsidR="0017395B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EF5278" w14:textId="77777777" w:rsidR="0017395B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D3BB04B" w14:textId="77777777" w:rsidR="0017395B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5E6F9E7" w14:textId="77777777" w:rsidR="0017395B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174CA9BF" w14:textId="77777777" w:rsidTr="005F534C">
        <w:trPr>
          <w:trHeight w:val="230"/>
          <w:jc w:val="right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8E63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6B59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6E0B7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7ACD7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E7E37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7395B" w:rsidRPr="00B0179A" w14:paraId="5DEC46CF" w14:textId="77777777" w:rsidTr="005F534C">
        <w:trPr>
          <w:trHeight w:val="230"/>
          <w:jc w:val="right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8CCD7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5F2C">
              <w:rPr>
                <w:rFonts w:eastAsia="Times New Roman"/>
                <w:sz w:val="22"/>
                <w:szCs w:val="22"/>
                <w:lang w:eastAsia="lt-LT"/>
              </w:rPr>
              <w:t>CŠT tinklų erdvinių duomenų vektorizavimo ir įkėlimo į topografijos ir inžinerinės infrastruktūros informacinę sistemą (TIIS)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46C0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E3EF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F36E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nuosavos lėšos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B839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+0,0126</w:t>
            </w:r>
          </w:p>
        </w:tc>
      </w:tr>
      <w:tr w:rsidR="0017395B" w:rsidRPr="00B0179A" w14:paraId="2BED8714" w14:textId="77777777" w:rsidTr="005F534C">
        <w:trPr>
          <w:trHeight w:val="230"/>
          <w:jc w:val="right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566D0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5F2C">
              <w:rPr>
                <w:rFonts w:eastAsia="Times New Roman"/>
                <w:sz w:val="22"/>
                <w:szCs w:val="22"/>
                <w:lang w:eastAsia="lt-LT"/>
              </w:rPr>
              <w:t>Katilinės Nr. 2 CŠT praplėtimas, prijungiant darželį „Eglutė“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1DD0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B61C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528C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skolintos lėšos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A0CC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+0,0141</w:t>
            </w:r>
          </w:p>
        </w:tc>
      </w:tr>
      <w:tr w:rsidR="0017395B" w:rsidRPr="00B0179A" w14:paraId="10B558F1" w14:textId="77777777" w:rsidTr="005F534C">
        <w:trPr>
          <w:trHeight w:val="230"/>
          <w:jc w:val="right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E35B" w14:textId="77777777" w:rsidR="0017395B" w:rsidRPr="00B0179A" w:rsidRDefault="0017395B" w:rsidP="0017395B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FE5F2C">
              <w:rPr>
                <w:rFonts w:eastAsia="Times New Roman"/>
                <w:sz w:val="22"/>
                <w:szCs w:val="22"/>
                <w:lang w:eastAsia="lt-LT"/>
              </w:rPr>
              <w:t>Katilinės Nr. 4 modernizavimas su automatizuotu biokuro katilu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5F2C6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722B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A61A" w14:textId="77777777" w:rsidR="0017395B" w:rsidRPr="00B0179A" w:rsidRDefault="0017395B" w:rsidP="001739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skolintos lėšos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FC0C" w14:textId="77777777" w:rsidR="0017395B" w:rsidRPr="00B0179A" w:rsidRDefault="0017395B" w:rsidP="0017395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-0,0111</w:t>
            </w:r>
          </w:p>
        </w:tc>
      </w:tr>
    </w:tbl>
    <w:p w14:paraId="1821BD57" w14:textId="1F0D1A5D" w:rsidR="00FF2E76" w:rsidRPr="00451B2A" w:rsidRDefault="00FF2E76" w:rsidP="00FF2E76">
      <w:pPr>
        <w:ind w:firstLine="851"/>
        <w:jc w:val="both"/>
      </w:pPr>
      <w:r w:rsidRPr="00B0179A">
        <w:lastRenderedPageBreak/>
        <w:t>Visa išsami informacija apie prašomą koreguoti UAB Kretingos šilumos tinklų investicinį planą aprašyta Bendrovės 202</w:t>
      </w:r>
      <w:r>
        <w:t>5</w:t>
      </w:r>
      <w:r w:rsidRPr="00B0179A">
        <w:t xml:space="preserve"> m. </w:t>
      </w:r>
      <w:r>
        <w:t>spalio</w:t>
      </w:r>
      <w:r w:rsidRPr="00B0179A">
        <w:t xml:space="preserve"> 3</w:t>
      </w:r>
      <w:r>
        <w:t>0</w:t>
      </w:r>
      <w:r w:rsidRPr="00B0179A">
        <w:t xml:space="preserve"> d. pateikto rašto Nr. </w:t>
      </w:r>
      <w:r w:rsidRPr="00451B2A">
        <w:t>R2-194 „Dėl 2025</w:t>
      </w:r>
      <w:r w:rsidRPr="00B0179A">
        <w:t>–</w:t>
      </w:r>
      <w:r w:rsidRPr="00451B2A">
        <w:t>2026 metų koreguoto investicijų plano derinimo“ aiškinamajame rašte, kuriame pateiktas ir k</w:t>
      </w:r>
      <w:r w:rsidRPr="00B0179A">
        <w:t>oreguoto</w:t>
      </w:r>
      <w:r w:rsidRPr="00451B2A">
        <w:t xml:space="preserve"> UAB Kretingos šilumos tinklų 2025</w:t>
      </w:r>
      <w:r w:rsidRPr="00B0179A">
        <w:t>–</w:t>
      </w:r>
      <w:r w:rsidRPr="00451B2A">
        <w:t>2026 metų investicinio plano lyginamasis variantas.</w:t>
      </w:r>
    </w:p>
    <w:p w14:paraId="2616076E" w14:textId="77777777" w:rsidR="00FF2E76" w:rsidRPr="00FF2E76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FF2E76">
        <w:rPr>
          <w:rFonts w:ascii="Times New Roman" w:hAnsi="Times New Roman" w:cs="Times New Roman"/>
          <w:b/>
        </w:rPr>
        <w:t>3. Kokių rezultatų laukiama.</w:t>
      </w:r>
    </w:p>
    <w:p w14:paraId="3627C11B" w14:textId="77777777" w:rsidR="00FF2E76" w:rsidRPr="00FF2E76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FF2E76">
        <w:rPr>
          <w:rFonts w:ascii="Times New Roman" w:hAnsi="Times New Roman" w:cs="Times New Roman"/>
        </w:rPr>
        <w:t>Kretingos rajono savivaldybės tarybos suderintas pakoreguotas UAB Kretingos šilumos tinklų 2025–2026 metų investicijų planas.</w:t>
      </w:r>
    </w:p>
    <w:p w14:paraId="2E2800DA" w14:textId="77777777" w:rsidR="00FF2E76" w:rsidRPr="00FF2E76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FF2E76">
        <w:rPr>
          <w:rFonts w:ascii="Times New Roman" w:hAnsi="Times New Roman" w:cs="Times New Roman"/>
          <w:b/>
        </w:rPr>
        <w:t xml:space="preserve">4. Lėšų poreikis ir šaltiniai. </w:t>
      </w:r>
    </w:p>
    <w:p w14:paraId="4FB56F14" w14:textId="77777777" w:rsidR="00FF2E76" w:rsidRPr="00FF2E76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FF2E76">
        <w:rPr>
          <w:bCs/>
        </w:rPr>
        <w:t>Savivaldybės b</w:t>
      </w:r>
      <w:r w:rsidRPr="00FF2E76">
        <w:t>iudžeto lėšų nereikės. UAB Kretingos šilumos tinklų nuosavos, skolintos ir ES fondų lėšos.</w:t>
      </w:r>
    </w:p>
    <w:p w14:paraId="7E7341D5" w14:textId="77777777" w:rsidR="00FF2E76" w:rsidRPr="00DF4893" w:rsidRDefault="00FF2E76" w:rsidP="00FF2E7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b/>
        </w:rPr>
      </w:pPr>
      <w:r w:rsidRPr="00FF2E76">
        <w:rPr>
          <w:rFonts w:ascii="Times New Roman" w:hAnsi="Times New Roman" w:cs="Times New Roman"/>
          <w:b/>
        </w:rPr>
        <w:t>5. Kiti sprendimui priimti reikalingi pagrindimai</w:t>
      </w:r>
      <w:r w:rsidRPr="00DF4893">
        <w:rPr>
          <w:rFonts w:ascii="Times New Roman" w:hAnsi="Times New Roman"/>
          <w:b/>
        </w:rPr>
        <w:t>, skaičiavimai ar paaiškinimai.</w:t>
      </w:r>
    </w:p>
    <w:p w14:paraId="3A8F57C5" w14:textId="001234B1" w:rsidR="00FF2E76" w:rsidRPr="00FF2E76" w:rsidRDefault="00FF2E76" w:rsidP="00FF2E76">
      <w:pPr>
        <w:ind w:firstLine="851"/>
        <w:jc w:val="both"/>
      </w:pPr>
      <w:r w:rsidRPr="00B0179A">
        <w:t>Vadovaujantis Šilumos tiekėjų, nepriklausomų šilumos gamintojų, geriamojo vandens tiekėjų ir nuotekų tvarkytojų, paviršinių nuotekų tvarkytojų investicijų vertinimo ir derinimo Valstybinėje energetikos reguliavimo taryboje tvarkos aprašo</w:t>
      </w:r>
      <w:r>
        <w:t>, patvirtinto</w:t>
      </w:r>
      <w:r w:rsidRPr="00587F56">
        <w:t xml:space="preserve"> </w:t>
      </w:r>
      <w:r w:rsidRPr="00B0179A">
        <w:t>Valstybinės energetikos reguliavimo tarybos 2019 m. balandžio 1 d. nutarimu Nr. O3E-93 „</w:t>
      </w:r>
      <w:r w:rsidRPr="00B0179A">
        <w:rPr>
          <w:color w:val="000000"/>
        </w:rPr>
        <w:t>Dėl Šilumos tiekėjų, nepriklausomų šilumos gamintojų, geriamojo vandens tiekėjų ir nuotekų tvarkytojų, paviršinių nuotekų tvarkytojų investicijų vertinimo ir derinimo valstybinėje energetikos reguliavimo taryboje tvarkos aprašo patvirtinimo</w:t>
      </w:r>
      <w:r>
        <w:rPr>
          <w:color w:val="000000"/>
        </w:rPr>
        <w:t>“,</w:t>
      </w:r>
      <w:r w:rsidRPr="00B0179A">
        <w:t xml:space="preserve"> 7.7</w:t>
      </w:r>
      <w:r w:rsidRPr="00587F56">
        <w:rPr>
          <w:vertAlign w:val="superscript"/>
        </w:rPr>
        <w:t>1</w:t>
      </w:r>
      <w:r w:rsidRPr="00B0179A">
        <w:t xml:space="preserve"> punktu, Kretingos rajono savivaldybės tarybos suderintą</w:t>
      </w:r>
      <w:r>
        <w:t xml:space="preserve"> pakoreguotą</w:t>
      </w:r>
      <w:r w:rsidRPr="00B0179A">
        <w:t xml:space="preserve"> 202</w:t>
      </w:r>
      <w:r>
        <w:t>5</w:t>
      </w:r>
      <w:r w:rsidRPr="00B0179A">
        <w:t>–</w:t>
      </w:r>
      <w:r w:rsidRPr="00FF2E76">
        <w:t>2026 metų investicijų planą Bendrovė privalo pateikti Valstybinės energetikos reguliavimo tarybai.</w:t>
      </w:r>
    </w:p>
    <w:p w14:paraId="00BB115F" w14:textId="77777777" w:rsidR="00FF2E76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  <w:rPr>
          <w:b/>
        </w:rPr>
      </w:pPr>
      <w:r>
        <w:rPr>
          <w:b/>
        </w:rPr>
        <w:t>6</w:t>
      </w:r>
      <w:r w:rsidRPr="003013A1">
        <w:rPr>
          <w:b/>
        </w:rPr>
        <w:t>.</w:t>
      </w:r>
      <w:r w:rsidRPr="00C43D07">
        <w:rPr>
          <w:b/>
          <w:bCs/>
        </w:rP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23960AEF" w14:textId="77777777" w:rsidR="00FF2E76" w:rsidRPr="00B0179A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B0179A">
        <w:t>Teisės aktų projektų antikorupcinio vertinimo taisyklėse antikorupcinis vertinimas nenumatytas.</w:t>
      </w:r>
    </w:p>
    <w:p w14:paraId="4E2E26C0" w14:textId="77777777" w:rsidR="00FF2E76" w:rsidRPr="00B0179A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B0179A">
        <w:rPr>
          <w:b/>
        </w:rPr>
        <w:t>8. Autorius ar autorių grupės</w:t>
      </w:r>
      <w:r w:rsidRPr="00B0179A">
        <w:t xml:space="preserve">. </w:t>
      </w:r>
    </w:p>
    <w:p w14:paraId="5B91745E" w14:textId="77777777" w:rsidR="00FF2E76" w:rsidRPr="00B0179A" w:rsidRDefault="00FF2E76" w:rsidP="00FF2E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B0179A">
        <w:t xml:space="preserve">Vietinio ūkio ir turto valdymo skyriaus </w:t>
      </w:r>
      <w:r>
        <w:t>patarėja</w:t>
      </w:r>
      <w:r w:rsidRPr="00B0179A">
        <w:t xml:space="preserve"> Renata Ambrazevičienė.</w:t>
      </w:r>
    </w:p>
    <w:sectPr w:rsidR="00FF2E76" w:rsidRPr="00B0179A" w:rsidSect="0017395B">
      <w:headerReference w:type="default" r:id="rId8"/>
      <w:pgSz w:w="11906" w:h="16838"/>
      <w:pgMar w:top="1077" w:right="567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10A0" w14:textId="77777777" w:rsidR="00FF2E76" w:rsidRDefault="00FF2E76" w:rsidP="00FF2E76">
      <w:r>
        <w:separator/>
      </w:r>
    </w:p>
  </w:endnote>
  <w:endnote w:type="continuationSeparator" w:id="0">
    <w:p w14:paraId="02A558B8" w14:textId="77777777" w:rsidR="00FF2E76" w:rsidRDefault="00FF2E76" w:rsidP="00F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26A6" w14:textId="77777777" w:rsidR="00FF2E76" w:rsidRDefault="00FF2E76" w:rsidP="00FF2E76">
      <w:r>
        <w:separator/>
      </w:r>
    </w:p>
  </w:footnote>
  <w:footnote w:type="continuationSeparator" w:id="0">
    <w:p w14:paraId="0BA4449F" w14:textId="77777777" w:rsidR="00FF2E76" w:rsidRDefault="00FF2E76" w:rsidP="00FF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789560"/>
      <w:docPartObj>
        <w:docPartGallery w:val="Page Numbers (Top of Page)"/>
        <w:docPartUnique/>
      </w:docPartObj>
    </w:sdtPr>
    <w:sdtEndPr/>
    <w:sdtContent>
      <w:p w14:paraId="0C653C30" w14:textId="23A7C00F" w:rsidR="00FF2E76" w:rsidRDefault="00FF2E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C481F3" w14:textId="77777777" w:rsidR="00FF2E76" w:rsidRDefault="00FF2E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76"/>
    <w:rsid w:val="0017395B"/>
    <w:rsid w:val="00342D4A"/>
    <w:rsid w:val="00451B2A"/>
    <w:rsid w:val="005F3C30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33B0"/>
  <w15:chartTrackingRefBased/>
  <w15:docId w15:val="{F6FDFCF9-F884-445B-9FE5-F5B8B31B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2E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2E7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2E7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2E7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2E7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2E7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2E7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2E7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2E7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2E7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2E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2E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2E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2E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2E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2E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2E7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2E7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2E7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2E76"/>
    <w:rPr>
      <w:i/>
      <w:iCs/>
      <w:color w:val="404040" w:themeColor="text1" w:themeTint="BF"/>
    </w:rPr>
  </w:style>
  <w:style w:type="paragraph" w:styleId="Sraopastraipa">
    <w:name w:val="List Paragraph"/>
    <w:aliases w:val="SĄRAŠAS,List Paragraph Red,Bullet EY,Sarasas"/>
    <w:basedOn w:val="prastasis"/>
    <w:link w:val="SraopastraipaDiagrama"/>
    <w:uiPriority w:val="34"/>
    <w:qFormat/>
    <w:rsid w:val="00FF2E7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F2E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2E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2E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2E7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FF2E76"/>
    <w:rPr>
      <w:color w:val="0000FF"/>
      <w:u w:val="single"/>
    </w:rPr>
  </w:style>
  <w:style w:type="character" w:customStyle="1" w:styleId="SraopastraipaDiagrama">
    <w:name w:val="Sąrašo pastraipa Diagrama"/>
    <w:aliases w:val="SĄRAŠAS Diagrama,List Paragraph Red Diagrama,Bullet EY Diagrama,Sarasas Diagrama"/>
    <w:link w:val="Sraopastraipa"/>
    <w:uiPriority w:val="34"/>
    <w:locked/>
    <w:rsid w:val="00FF2E76"/>
  </w:style>
  <w:style w:type="paragraph" w:styleId="Antrats">
    <w:name w:val="header"/>
    <w:basedOn w:val="prastasis"/>
    <w:link w:val="AntratsDiagrama"/>
    <w:uiPriority w:val="99"/>
    <w:unhideWhenUsed/>
    <w:rsid w:val="00FF2E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2E76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F2E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2E76"/>
    <w:rPr>
      <w:rFonts w:ascii="Times New Roman" w:eastAsia="Lucida Sans Unicode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OL('78701','15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lex.lt/ta/787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3298</Words>
  <Characters>1881</Characters>
  <Application>Microsoft Office Word</Application>
  <DocSecurity>0</DocSecurity>
  <Lines>15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Renata Ambrazevičienė</cp:lastModifiedBy>
  <cp:revision>3</cp:revision>
  <dcterms:created xsi:type="dcterms:W3CDTF">2025-11-13T14:28:00Z</dcterms:created>
  <dcterms:modified xsi:type="dcterms:W3CDTF">2025-11-13T15:51:00Z</dcterms:modified>
</cp:coreProperties>
</file>