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3FBD" w14:textId="77777777" w:rsidR="005E4CF6" w:rsidRDefault="005E4CF6" w:rsidP="005E4CF6">
      <w:pPr>
        <w:jc w:val="center"/>
        <w:rPr>
          <w:b/>
        </w:rPr>
      </w:pPr>
      <w:r w:rsidRPr="00766E67">
        <w:rPr>
          <w:b/>
        </w:rPr>
        <w:t>AIŠKINAMASIS RAŠTAS</w:t>
      </w:r>
    </w:p>
    <w:p w14:paraId="02802F6C" w14:textId="77777777" w:rsidR="005E4CF6" w:rsidRPr="00766E67" w:rsidRDefault="005E4CF6" w:rsidP="005E4CF6">
      <w:pPr>
        <w:jc w:val="center"/>
        <w:rPr>
          <w:b/>
        </w:rPr>
      </w:pPr>
      <w:r w:rsidRPr="00766E67">
        <w:rPr>
          <w:b/>
        </w:rPr>
        <w:t>PRIE KRETINGOS RAJONO SAVIVALDYBĖS TARYBOS SPRENDIMO</w:t>
      </w:r>
      <w:r>
        <w:rPr>
          <w:b/>
        </w:rPr>
        <w:t xml:space="preserve"> PROJEKTO</w:t>
      </w:r>
    </w:p>
    <w:p w14:paraId="0AA7FC28" w14:textId="77777777" w:rsidR="005E4CF6" w:rsidRPr="00392BFE" w:rsidRDefault="005E4CF6" w:rsidP="005E4CF6">
      <w:pPr>
        <w:jc w:val="center"/>
        <w:rPr>
          <w:b/>
          <w:bCs/>
        </w:rPr>
      </w:pPr>
      <w:r w:rsidRPr="00766E67">
        <w:rPr>
          <w:b/>
          <w:caps/>
        </w:rPr>
        <w:t>„</w:t>
      </w:r>
      <w:r w:rsidRPr="00186D8C">
        <w:rPr>
          <w:b/>
          <w:bCs/>
        </w:rPr>
        <w:t xml:space="preserve">DĖL UAB KRETINGOS ŠILUMOS TINKLŲ </w:t>
      </w:r>
      <w:r>
        <w:rPr>
          <w:b/>
          <w:bCs/>
        </w:rPr>
        <w:t xml:space="preserve">KOREGUOTO </w:t>
      </w:r>
      <w:r w:rsidRPr="004E78F3">
        <w:rPr>
          <w:b/>
          <w:bCs/>
        </w:rPr>
        <w:t>ŠILUMOS GAMYBOS IR (AR) TIEKIMO PAJAMŲ BAZINIO LYGIO NUSTATYMO</w:t>
      </w:r>
      <w:r>
        <w:rPr>
          <w:b/>
          <w:bCs/>
        </w:rPr>
        <w:t xml:space="preserve"> </w:t>
      </w:r>
      <w:r>
        <w:rPr>
          <w:b/>
        </w:rPr>
        <w:t xml:space="preserve">ANTRIESIEMS </w:t>
      </w:r>
      <w:r w:rsidRPr="00344217">
        <w:rPr>
          <w:rFonts w:eastAsia="TimesNewRomanPSMT"/>
          <w:b/>
          <w:bCs/>
        </w:rPr>
        <w:t>ŠILUMOS GAMYBOS IR (AR) TIEKIMO PAJAMŲ BAZINIO LYGIO GALIOJIMO METAMS</w:t>
      </w:r>
      <w:r w:rsidRPr="00766E67">
        <w:rPr>
          <w:b/>
          <w:caps/>
        </w:rPr>
        <w:t>“</w:t>
      </w:r>
    </w:p>
    <w:p w14:paraId="69814DAB" w14:textId="77777777" w:rsidR="005E4CF6" w:rsidRDefault="005E4CF6" w:rsidP="005E4CF6">
      <w:pPr>
        <w:rPr>
          <w:bCs/>
          <w:caps/>
        </w:rPr>
      </w:pPr>
    </w:p>
    <w:p w14:paraId="208D805D" w14:textId="77777777" w:rsidR="005E4CF6" w:rsidRPr="00033D28" w:rsidRDefault="005E4CF6" w:rsidP="005E4CF6">
      <w:pPr>
        <w:jc w:val="center"/>
        <w:rPr>
          <w:caps/>
        </w:rPr>
      </w:pPr>
      <w:r w:rsidRPr="00033D28">
        <w:t>20</w:t>
      </w:r>
      <w:r>
        <w:t>25</w:t>
      </w:r>
      <w:r w:rsidRPr="00033D28">
        <w:t xml:space="preserve"> m. </w:t>
      </w:r>
      <w:r>
        <w:t xml:space="preserve">lapkričio 13 </w:t>
      </w:r>
      <w:r w:rsidRPr="00033D28">
        <w:t>d.</w:t>
      </w:r>
    </w:p>
    <w:p w14:paraId="6F8245E0" w14:textId="77777777" w:rsidR="005E4CF6" w:rsidRDefault="005E4CF6" w:rsidP="005E4CF6">
      <w:pPr>
        <w:jc w:val="center"/>
        <w:rPr>
          <w:b/>
        </w:rPr>
      </w:pPr>
      <w:r w:rsidRPr="004C2115">
        <w:t>Kretinga</w:t>
      </w:r>
    </w:p>
    <w:p w14:paraId="73BF9743" w14:textId="77777777" w:rsidR="005E4CF6" w:rsidRDefault="005E4CF6" w:rsidP="005E4CF6">
      <w:pPr>
        <w:rPr>
          <w:bCs/>
          <w:caps/>
        </w:rPr>
      </w:pPr>
    </w:p>
    <w:p w14:paraId="181ACCF8" w14:textId="77777777" w:rsidR="005E4CF6" w:rsidRPr="00147BAB" w:rsidRDefault="005E4CF6" w:rsidP="005E4CF6">
      <w:pPr>
        <w:pStyle w:val="Sraopastraipa"/>
        <w:spacing w:after="0" w:line="240" w:lineRule="auto"/>
        <w:ind w:left="0" w:firstLine="720"/>
        <w:jc w:val="both"/>
        <w:rPr>
          <w:rFonts w:ascii="Times New Roman" w:hAnsi="Times New Roman"/>
          <w:b/>
        </w:rPr>
      </w:pPr>
      <w:r>
        <w:rPr>
          <w:rFonts w:ascii="Times New Roman" w:hAnsi="Times New Roman"/>
          <w:b/>
        </w:rPr>
        <w:t xml:space="preserve">1. </w:t>
      </w:r>
      <w:r w:rsidRPr="005852EA">
        <w:rPr>
          <w:rFonts w:ascii="Times New Roman" w:hAnsi="Times New Roman"/>
          <w:b/>
        </w:rPr>
        <w:t>Parengto sprendimo projekto tikslas ir uždaviniai.</w:t>
      </w:r>
    </w:p>
    <w:p w14:paraId="573601A9" w14:textId="40E11D27" w:rsidR="005E4CF6" w:rsidRDefault="005E4CF6" w:rsidP="005E4CF6">
      <w:pPr>
        <w:ind w:firstLine="720"/>
        <w:jc w:val="both"/>
        <w:rPr>
          <w:iCs/>
        </w:rPr>
      </w:pPr>
      <w:r w:rsidRPr="00147BAB">
        <w:t xml:space="preserve">Vadovaujantis </w:t>
      </w:r>
      <w:r>
        <w:t>Lietuvos Respublikos š</w:t>
      </w:r>
      <w:r w:rsidRPr="00147BAB">
        <w:t>ilumos ūkio įstatymu ir Šilumos kainų nustatymo metodika, patvirtinta Valstybinės kainų ir energetikos kontrolės komisijos</w:t>
      </w:r>
      <w:r>
        <w:t xml:space="preserve"> (toliau </w:t>
      </w:r>
      <w:r w:rsidR="00C8447B">
        <w:t>–</w:t>
      </w:r>
      <w:r>
        <w:t xml:space="preserve"> VERT)</w:t>
      </w:r>
      <w:r w:rsidRPr="00147BAB">
        <w:t xml:space="preserve"> 2009 m. liepos 8 d. nutarimu Nr. O3-96 „Dėl Šilumos kainų nustatymo metodikos“</w:t>
      </w:r>
      <w:r>
        <w:t xml:space="preserve"> (</w:t>
      </w:r>
      <w:r w:rsidRPr="00473432">
        <w:rPr>
          <w:color w:val="000000"/>
          <w:shd w:val="clear" w:color="auto" w:fill="FFFFFF"/>
        </w:rPr>
        <w:t>nauja redakcija nuo 2023</w:t>
      </w:r>
      <w:r>
        <w:rPr>
          <w:color w:val="000000"/>
          <w:shd w:val="clear" w:color="auto" w:fill="FFFFFF"/>
        </w:rPr>
        <w:t xml:space="preserve"> m. spalio </w:t>
      </w:r>
      <w:r w:rsidRPr="00473432">
        <w:rPr>
          <w:color w:val="000000"/>
          <w:shd w:val="clear" w:color="auto" w:fill="FFFFFF"/>
        </w:rPr>
        <w:t>1</w:t>
      </w:r>
      <w:r>
        <w:rPr>
          <w:color w:val="000000"/>
          <w:shd w:val="clear" w:color="auto" w:fill="FFFFFF"/>
        </w:rPr>
        <w:t xml:space="preserve"> d.</w:t>
      </w:r>
      <w:r>
        <w:t>) (toliau –</w:t>
      </w:r>
      <w:r w:rsidRPr="00132F63">
        <w:t xml:space="preserve"> </w:t>
      </w:r>
      <w:r w:rsidRPr="00147BAB">
        <w:t>Šilumos kainų nustatymo metodika</w:t>
      </w:r>
      <w:r>
        <w:t>)</w:t>
      </w:r>
      <w:r w:rsidRPr="00147BAB">
        <w:t xml:space="preserve">, nustatyti </w:t>
      </w:r>
      <w:r>
        <w:t>antrie</w:t>
      </w:r>
      <w:r w:rsidRPr="005852EA">
        <w:t>siems</w:t>
      </w:r>
      <w:r w:rsidRPr="00147BAB">
        <w:rPr>
          <w:lang w:val="pt-BR"/>
        </w:rPr>
        <w:t xml:space="preserve"> šilumos </w:t>
      </w:r>
      <w:r>
        <w:rPr>
          <w:lang w:val="pt-BR"/>
        </w:rPr>
        <w:t xml:space="preserve">gamybos ir (ar) tiekimo pajamų bazinio lygio </w:t>
      </w:r>
      <w:r w:rsidRPr="00147BAB">
        <w:rPr>
          <w:lang w:val="pt-BR"/>
        </w:rPr>
        <w:t>galiojimo metams</w:t>
      </w:r>
      <w:r w:rsidRPr="00F06B71">
        <w:rPr>
          <w:lang w:val="pt-BR"/>
        </w:rPr>
        <w:t>, nuo 2026 m. vasario 1 d. iki 2027 m. sausio 31 d.</w:t>
      </w:r>
      <w:r w:rsidRPr="00134A65">
        <w:rPr>
          <w:lang w:val="pt-BR"/>
        </w:rPr>
        <w:t>,</w:t>
      </w:r>
      <w:r w:rsidRPr="00147BAB">
        <w:rPr>
          <w:lang w:val="pt-BR"/>
        </w:rPr>
        <w:t xml:space="preserve"> UAB Kretingos šilumos tinklų </w:t>
      </w:r>
      <w:r>
        <w:t>šilumos gamybos ir (ar) tiekimo pajamų bazinį lygį</w:t>
      </w:r>
      <w:r w:rsidRPr="00147BAB">
        <w:rPr>
          <w:lang w:val="pt-BR"/>
        </w:rPr>
        <w:t xml:space="preserve"> bei </w:t>
      </w:r>
      <w:r w:rsidRPr="00392BFE">
        <w:rPr>
          <w:lang w:val="pt-BR"/>
        </w:rPr>
        <w:t>paskirstyti dėl</w:t>
      </w:r>
      <w:r>
        <w:t xml:space="preserve"> pasikeitusio pelno mokesčio tarifo</w:t>
      </w:r>
      <w:r w:rsidRPr="00756C45">
        <w:t xml:space="preserve"> </w:t>
      </w:r>
      <w:r>
        <w:rPr>
          <w:rFonts w:eastAsia="Calibri"/>
        </w:rPr>
        <w:t>šilumos gamybos ir (ar) tiekimo pajamų lygyje</w:t>
      </w:r>
      <w:r w:rsidRPr="00756C45">
        <w:t xml:space="preserve"> įskaityt</w:t>
      </w:r>
      <w:r>
        <w:t>os ir perskaičiuotos investicijų grąžos neatitikties 2025 m. sausio 1 d.</w:t>
      </w:r>
      <w:r w:rsidR="00C8447B">
        <w:t xml:space="preserve"> </w:t>
      </w:r>
      <w:r>
        <w:t>–</w:t>
      </w:r>
      <w:r w:rsidR="00C8447B">
        <w:t xml:space="preserve"> </w:t>
      </w:r>
      <w:r>
        <w:t xml:space="preserve">vasario 28 d. laikotarpiu negautą 158,00 Eur investicijų </w:t>
      </w:r>
      <w:r w:rsidRPr="00392BFE">
        <w:rPr>
          <w:lang w:val="pt-BR"/>
        </w:rPr>
        <w:t>grąžos sumą.</w:t>
      </w:r>
    </w:p>
    <w:p w14:paraId="4DEA99BE" w14:textId="77777777" w:rsidR="005E4CF6" w:rsidRPr="00147BAB" w:rsidRDefault="005E4CF6" w:rsidP="005E4CF6">
      <w:pPr>
        <w:widowControl/>
        <w:suppressAutoHyphens w:val="0"/>
        <w:ind w:firstLine="720"/>
        <w:jc w:val="both"/>
        <w:rPr>
          <w:b/>
        </w:rPr>
      </w:pPr>
      <w:r w:rsidRPr="00147BAB">
        <w:rPr>
          <w:b/>
        </w:rPr>
        <w:t>2. Siūlomos teisinio reguliavimo nuostatos, šiuo metu esantis teisinis reglamentavimas, kokie šios srities teisės aktai tebegalioja ir kokius teisės aktus būtina pakeisti ar panaikinti, priėmus teikiamą tarybos sprendimo projektą.</w:t>
      </w:r>
    </w:p>
    <w:p w14:paraId="3C18F6B3" w14:textId="77777777" w:rsidR="005E4CF6" w:rsidRPr="0042798D" w:rsidRDefault="005E4CF6" w:rsidP="005E4CF6">
      <w:pPr>
        <w:pStyle w:val="tajtip"/>
        <w:shd w:val="clear" w:color="auto" w:fill="FFFFFF"/>
        <w:spacing w:before="0" w:beforeAutospacing="0" w:after="0" w:afterAutospacing="0"/>
        <w:ind w:firstLine="720"/>
        <w:jc w:val="both"/>
        <w:rPr>
          <w:color w:val="000000"/>
        </w:rPr>
      </w:pPr>
      <w:r w:rsidRPr="0042798D">
        <w:t>Vadovaujantis Lietuvos Respublikos šilumos ūkio įstatymo 32 straipsnio 8 dali</w:t>
      </w:r>
      <w:r>
        <w:t>es 1 punktu</w:t>
      </w:r>
      <w:r w:rsidRPr="0042798D">
        <w:t>,</w:t>
      </w:r>
      <w:r w:rsidRPr="0042798D">
        <w:rPr>
          <w:color w:val="000000"/>
        </w:rPr>
        <w:t xml:space="preserve"> savivaldybės taryba, vadovaudamasi VERT nustatytu šilumos pajamų baziniu lygiu ir Šilumos kainų nustatymo metodika, nustato kiekvienais metais koreguojamą šilumos pajamų metinį lygį kiekvienam šilumos tiekėjui, realizuojančiam ne mažiau kaip 10 GWh šilumos per metus.</w:t>
      </w:r>
    </w:p>
    <w:p w14:paraId="24BD015A" w14:textId="77777777" w:rsidR="005E4CF6" w:rsidRDefault="005E4CF6" w:rsidP="005E4CF6">
      <w:pPr>
        <w:pStyle w:val="tajtip"/>
        <w:shd w:val="clear" w:color="auto" w:fill="FFFFFF"/>
        <w:spacing w:before="0" w:beforeAutospacing="0" w:after="0" w:afterAutospacing="0"/>
        <w:ind w:firstLine="720"/>
        <w:jc w:val="both"/>
        <w:rPr>
          <w:rFonts w:ascii="Arial" w:hAnsi="Arial" w:cs="Arial"/>
          <w:color w:val="000000"/>
          <w:sz w:val="22"/>
          <w:szCs w:val="22"/>
        </w:rPr>
      </w:pPr>
      <w:r w:rsidRPr="00147BAB">
        <w:t>Šilumos kainų nustatymo metodik</w:t>
      </w:r>
      <w:r>
        <w:t xml:space="preserve">os 58 punkte nustatyta </w:t>
      </w:r>
      <w:r w:rsidRPr="003B248F">
        <w:rPr>
          <w:color w:val="000000"/>
        </w:rPr>
        <w:t>Koreguoto pajamų lygio nustatymo procedūra</w:t>
      </w:r>
      <w:r>
        <w:rPr>
          <w:color w:val="000000"/>
        </w:rPr>
        <w:t>: š</w:t>
      </w:r>
      <w:r w:rsidRPr="003B248F">
        <w:rPr>
          <w:color w:val="000000"/>
        </w:rPr>
        <w:t xml:space="preserve">ilumos tiekėjas, vadovaudamasis </w:t>
      </w:r>
      <w:r w:rsidRPr="003B248F">
        <w:t>Šilumos kainų nustatymo metodika</w:t>
      </w:r>
      <w:r w:rsidRPr="003B248F">
        <w:rPr>
          <w:color w:val="000000"/>
        </w:rPr>
        <w:t>, ne vėliau kaip likus 3 mėnesiams iki einamojo Pajamų lygio galiojimo metų pabaigos parengia ir pateikia savivaldybės institucijai Koreguoto pajamų lygio projektą. S</w:t>
      </w:r>
      <w:r w:rsidRPr="003B248F">
        <w:rPr>
          <w:color w:val="000000"/>
          <w:shd w:val="clear" w:color="auto" w:fill="FFFFFF"/>
        </w:rPr>
        <w:t>avivaldybės taryba Koreguotą pajamų lygį nustato per 30 kalendorinių dienų</w:t>
      </w:r>
      <w:r>
        <w:rPr>
          <w:rFonts w:ascii="Arial" w:hAnsi="Arial" w:cs="Arial"/>
          <w:color w:val="000000"/>
          <w:sz w:val="22"/>
          <w:szCs w:val="22"/>
          <w:shd w:val="clear" w:color="auto" w:fill="FFFFFF"/>
        </w:rPr>
        <w:t xml:space="preserve">. </w:t>
      </w:r>
      <w:r w:rsidRPr="00D771FF">
        <w:rPr>
          <w:color w:val="000000"/>
          <w:shd w:val="clear" w:color="auto" w:fill="FFFFFF"/>
        </w:rPr>
        <w:t>Šilumos tiekėjui, realizuojančiam ne mažiau kaip 10 GWh šilumos per metus, pranešus VERT, kad savivaldybės taryba jam laiku nenustatė šilumos pajamų metinio lygio, VERT įgyja teisę vienašališkai per 30 kalendorinių dienų nuo visų tinkamai įformintų dokumentų gavimo dienos nustatyti šiam šilumos tiekėjui laikiną šilumos pajamų metinį lygį.</w:t>
      </w:r>
    </w:p>
    <w:p w14:paraId="01E9A8C0" w14:textId="77777777" w:rsidR="005E4CF6" w:rsidRDefault="005E4CF6" w:rsidP="005E4CF6">
      <w:pPr>
        <w:ind w:firstLine="720"/>
        <w:jc w:val="both"/>
      </w:pPr>
      <w:r>
        <w:t xml:space="preserve">VERT 2024 m. lapkričio 28 d. nutarimu Nr. O3E-1507 „Dėl UAB Kretingos šilumos tinklų šilumos gamybos ir (ar) tiekimo pajamų bazinio lygio nustatymo“ nustatė UAB Kretingos šilumos tinklams (toliau taip pat vadinama Bendrovė) šilumos gamybos ir (ar) tiekimo pajamų (toliau – Pajamos) bazinį lygį, kuris galioja iki 2027 m. lapkričio 30 d. Kretingos rajono savivaldybės (toliau – Savivaldybė) taryba 2025 m. sausio 30 d. sprendimu Nr. T2-24 „Dėl UAB Kretingos šilumos tinklų šilumos gamybos ir (ar) tiekimo pajamų bazinio lygio nustatymo“ Bendrovei nustatė Pajamų lygį pirmiesiems Pajamų bazinio lygio galiojimo metams, </w:t>
      </w:r>
      <w:r w:rsidRPr="00F06B71">
        <w:t>kuris įsigaliojo 2025 m. vasario 1 d.</w:t>
      </w:r>
      <w:r>
        <w:t xml:space="preserve"> ir  šilumos kainos tarife pradėtas taikyti nuo 2025 m. kovo 1 d.</w:t>
      </w:r>
    </w:p>
    <w:p w14:paraId="7BFB7310" w14:textId="77777777" w:rsidR="005E4CF6" w:rsidRDefault="005E4CF6" w:rsidP="005E4CF6">
      <w:pPr>
        <w:ind w:firstLine="720"/>
        <w:jc w:val="both"/>
      </w:pPr>
      <w:r>
        <w:t xml:space="preserve">Pajamų bazinio lygio koregavimas antriesiems Pajamų bazinio lygio galiojimo metams </w:t>
      </w:r>
      <w:r w:rsidRPr="002A4A49">
        <w:t>(toliau – Koreguotas pajamų lygis) atliekamas vadovaujantis Šilumos kainų nustatymo metodika</w:t>
      </w:r>
      <w:r>
        <w:t xml:space="preserve">. </w:t>
      </w:r>
      <w:r w:rsidRPr="002A4A49">
        <w:t xml:space="preserve">Šilumos kainų nustatymo </w:t>
      </w:r>
      <w:r>
        <w:t xml:space="preserve">metodikos 3.5 papunktyje nustatyta, kad Koreguoto pajamų lygio ataskaitinis laikotarpis – dvylika paskutinių mėnesių, einančių du mėnesiai prieš Koreguoto pajamų lygio projekto pateikimą. Koreguoto pajamų lygio ataskaitinis laikotarpis yra 2024 m. rugsėjo 1 d. – 2025 m. rugpjūčio 31 d. </w:t>
      </w:r>
    </w:p>
    <w:p w14:paraId="787A182F" w14:textId="77777777" w:rsidR="005E4CF6" w:rsidRDefault="005E4CF6" w:rsidP="005E4CF6">
      <w:pPr>
        <w:pStyle w:val="Pagrindiniotekstotrauka"/>
        <w:tabs>
          <w:tab w:val="left" w:pos="990"/>
          <w:tab w:val="left" w:pos="1260"/>
          <w:tab w:val="left" w:pos="1440"/>
          <w:tab w:val="left" w:pos="1710"/>
        </w:tabs>
        <w:rPr>
          <w:szCs w:val="24"/>
        </w:rPr>
      </w:pPr>
      <w:r w:rsidRPr="00147BAB">
        <w:rPr>
          <w:szCs w:val="24"/>
        </w:rPr>
        <w:t>UAB Kretingos šilumos tinklai 202</w:t>
      </w:r>
      <w:r>
        <w:rPr>
          <w:szCs w:val="24"/>
        </w:rPr>
        <w:t>5</w:t>
      </w:r>
      <w:r w:rsidRPr="00147BAB">
        <w:rPr>
          <w:szCs w:val="24"/>
        </w:rPr>
        <w:t xml:space="preserve"> m. </w:t>
      </w:r>
      <w:r>
        <w:rPr>
          <w:szCs w:val="24"/>
        </w:rPr>
        <w:t>spalio</w:t>
      </w:r>
      <w:r w:rsidRPr="00147BAB">
        <w:rPr>
          <w:szCs w:val="24"/>
        </w:rPr>
        <w:t xml:space="preserve"> 3</w:t>
      </w:r>
      <w:r>
        <w:rPr>
          <w:szCs w:val="24"/>
        </w:rPr>
        <w:t>0</w:t>
      </w:r>
      <w:r w:rsidRPr="00147BAB">
        <w:rPr>
          <w:szCs w:val="24"/>
        </w:rPr>
        <w:t xml:space="preserve"> d. raštu Nr. R2-</w:t>
      </w:r>
      <w:r>
        <w:rPr>
          <w:szCs w:val="24"/>
        </w:rPr>
        <w:t>193</w:t>
      </w:r>
      <w:r w:rsidRPr="00147BAB">
        <w:rPr>
          <w:szCs w:val="24"/>
        </w:rPr>
        <w:t xml:space="preserve"> „</w:t>
      </w:r>
      <w:r w:rsidRPr="0092631F">
        <w:rPr>
          <w:szCs w:val="24"/>
        </w:rPr>
        <w:t xml:space="preserve">Dėl UAB Kretingos šilumos tinklų </w:t>
      </w:r>
      <w:r>
        <w:rPr>
          <w:szCs w:val="24"/>
        </w:rPr>
        <w:t>koreguoto šilumos gamybos ir (ar) tiekimo pajamų lygio nustatymo antriesiems šilumos gamybos ir (ar) tiekimo pajamų bazinio lygio galiojimo metams</w:t>
      </w:r>
      <w:r w:rsidRPr="00147BAB">
        <w:rPr>
          <w:szCs w:val="24"/>
        </w:rPr>
        <w:t>“ pateikė</w:t>
      </w:r>
      <w:r>
        <w:rPr>
          <w:szCs w:val="24"/>
        </w:rPr>
        <w:t xml:space="preserve"> </w:t>
      </w:r>
      <w:r w:rsidRPr="0078466A">
        <w:rPr>
          <w:bCs/>
        </w:rPr>
        <w:t>koreguot</w:t>
      </w:r>
      <w:r>
        <w:rPr>
          <w:bCs/>
        </w:rPr>
        <w:t xml:space="preserve">o </w:t>
      </w:r>
      <w:r w:rsidRPr="0078466A">
        <w:rPr>
          <w:bCs/>
        </w:rPr>
        <w:t xml:space="preserve">šilumos </w:t>
      </w:r>
      <w:r w:rsidRPr="0078466A">
        <w:rPr>
          <w:bCs/>
        </w:rPr>
        <w:lastRenderedPageBreak/>
        <w:t>gamybos ir (ar) tiekimo pajamų bazinio lygio</w:t>
      </w:r>
      <w:r>
        <w:rPr>
          <w:bCs/>
        </w:rPr>
        <w:t xml:space="preserve"> </w:t>
      </w:r>
      <w:r>
        <w:rPr>
          <w:szCs w:val="24"/>
        </w:rPr>
        <w:t>nustatymo antriesiems šilumos gamybos ir (ar) tiekimo pajamų bazinio lygio galiojimo metams</w:t>
      </w:r>
      <w:r w:rsidRPr="0078466A">
        <w:rPr>
          <w:bCs/>
        </w:rPr>
        <w:t>, projekt</w:t>
      </w:r>
      <w:r>
        <w:rPr>
          <w:bCs/>
        </w:rPr>
        <w:t>ą</w:t>
      </w:r>
      <w:r w:rsidRPr="00147BAB">
        <w:rPr>
          <w:szCs w:val="24"/>
        </w:rPr>
        <w:t xml:space="preserve">. </w:t>
      </w:r>
    </w:p>
    <w:p w14:paraId="7EFEBF14" w14:textId="77777777" w:rsidR="005E4CF6" w:rsidRDefault="005E4CF6" w:rsidP="005E4CF6">
      <w:pPr>
        <w:pStyle w:val="Pagrindiniotekstotrauka"/>
        <w:tabs>
          <w:tab w:val="left" w:pos="990"/>
          <w:tab w:val="left" w:pos="1260"/>
          <w:tab w:val="left" w:pos="1440"/>
          <w:tab w:val="left" w:pos="1710"/>
        </w:tabs>
      </w:pPr>
      <w:r w:rsidRPr="00104E30">
        <w:t>Bendrovė, po Pajamų bazinio lygio nustatymo, Pajamų bazin</w:t>
      </w:r>
      <w:r>
        <w:t>io lygio koregavimą atlieka</w:t>
      </w:r>
      <w:r w:rsidRPr="00104E30">
        <w:t xml:space="preserve"> pirmą kartą.</w:t>
      </w:r>
      <w:r>
        <w:t xml:space="preserve"> </w:t>
      </w:r>
    </w:p>
    <w:p w14:paraId="0DF553C9" w14:textId="77777777" w:rsidR="005E4CF6" w:rsidRDefault="005E4CF6" w:rsidP="005E4CF6">
      <w:pPr>
        <w:pStyle w:val="Pagrindiniotekstotrauka"/>
        <w:tabs>
          <w:tab w:val="left" w:pos="990"/>
          <w:tab w:val="left" w:pos="1260"/>
          <w:tab w:val="left" w:pos="1440"/>
          <w:tab w:val="left" w:pos="1710"/>
        </w:tabs>
        <w:rPr>
          <w:rFonts w:eastAsia="TimesNewRomanPSMT"/>
        </w:rPr>
      </w:pPr>
    </w:p>
    <w:p w14:paraId="179C00B1" w14:textId="77777777" w:rsidR="005E4CF6" w:rsidRPr="00A03FF9" w:rsidRDefault="005E4CF6" w:rsidP="005E4CF6">
      <w:pPr>
        <w:pStyle w:val="Pagrindiniotekstotrauka"/>
        <w:tabs>
          <w:tab w:val="left" w:pos="990"/>
          <w:tab w:val="left" w:pos="1260"/>
          <w:tab w:val="left" w:pos="1440"/>
          <w:tab w:val="left" w:pos="1710"/>
        </w:tabs>
        <w:rPr>
          <w:rFonts w:eastAsia="TimesNewRomanPSMT"/>
          <w:i/>
          <w:iCs/>
        </w:rPr>
      </w:pPr>
      <w:r w:rsidRPr="00A03FF9">
        <w:rPr>
          <w:rFonts w:eastAsia="TimesNewRomanPSMT"/>
          <w:i/>
          <w:iCs/>
        </w:rPr>
        <w:t>Pajamų bazinio lygio pastoviosios dalies koregavimas</w:t>
      </w:r>
    </w:p>
    <w:p w14:paraId="56D34264" w14:textId="77777777" w:rsidR="005E4CF6" w:rsidRDefault="005E4CF6" w:rsidP="005E4CF6">
      <w:pPr>
        <w:pStyle w:val="Pagrindiniotekstotrauka"/>
        <w:tabs>
          <w:tab w:val="left" w:pos="990"/>
          <w:tab w:val="left" w:pos="1260"/>
          <w:tab w:val="left" w:pos="1440"/>
          <w:tab w:val="left" w:pos="1710"/>
        </w:tabs>
        <w:rPr>
          <w:rFonts w:eastAsia="TimesNewRomanPSMT"/>
        </w:rPr>
      </w:pPr>
      <w:r w:rsidRPr="00104E30">
        <w:rPr>
          <w:rFonts w:eastAsia="TimesNewRomanPSMT"/>
        </w:rPr>
        <w:t xml:space="preserve">Bendrovės šilumos </w:t>
      </w:r>
      <w:r>
        <w:rPr>
          <w:rFonts w:eastAsia="TimesNewRomanPSMT"/>
        </w:rPr>
        <w:t>P</w:t>
      </w:r>
      <w:r w:rsidRPr="00104E30">
        <w:rPr>
          <w:rFonts w:eastAsia="TimesNewRomanPSMT"/>
        </w:rPr>
        <w:t xml:space="preserve">ajamų bazinio lygio </w:t>
      </w:r>
      <w:r w:rsidRPr="00A03FF9">
        <w:rPr>
          <w:rFonts w:eastAsia="TimesNewRomanPSMT"/>
        </w:rPr>
        <w:t>pastoviosios sąnaudos</w:t>
      </w:r>
      <w:r w:rsidRPr="00104E30">
        <w:rPr>
          <w:rFonts w:eastAsia="TimesNewRomanPSMT"/>
        </w:rPr>
        <w:t xml:space="preserve"> ir investicijų grąža koreguojamos vadovaujantis </w:t>
      </w:r>
      <w:r w:rsidRPr="00147BAB">
        <w:t xml:space="preserve">Šilumos kainų nustatymo </w:t>
      </w:r>
      <w:r>
        <w:t>m</w:t>
      </w:r>
      <w:r w:rsidRPr="00104E30">
        <w:rPr>
          <w:rFonts w:eastAsia="TimesNewRomanPSMT"/>
        </w:rPr>
        <w:t>etodikos 71 punktu</w:t>
      </w:r>
      <w:r>
        <w:rPr>
          <w:rFonts w:eastAsia="TimesNewRomanPSMT"/>
        </w:rPr>
        <w:t>.</w:t>
      </w:r>
    </w:p>
    <w:p w14:paraId="01A6EA19" w14:textId="77777777" w:rsidR="005E4CF6" w:rsidRPr="000E7881" w:rsidRDefault="005E4CF6" w:rsidP="005E4CF6">
      <w:pPr>
        <w:pStyle w:val="Pagrindiniotekstotrauka"/>
        <w:tabs>
          <w:tab w:val="left" w:pos="990"/>
          <w:tab w:val="left" w:pos="1260"/>
          <w:tab w:val="left" w:pos="1440"/>
          <w:tab w:val="left" w:pos="1710"/>
        </w:tabs>
      </w:pPr>
      <w:r w:rsidRPr="003C453F">
        <w:t xml:space="preserve">Bendrovės Pajamų bazinio lygio </w:t>
      </w:r>
      <w:r w:rsidRPr="000E7881">
        <w:rPr>
          <w:b/>
          <w:bCs/>
        </w:rPr>
        <w:t>pastoviosios sąnaudos ir investicijų grąža</w:t>
      </w:r>
      <w:r w:rsidRPr="003C453F">
        <w:t xml:space="preserve"> po pirmojo perskaičiavimo sudaro 2191,919 tūkst. Eur ir </w:t>
      </w:r>
      <w:r w:rsidRPr="000E7881">
        <w:rPr>
          <w:b/>
          <w:bCs/>
        </w:rPr>
        <w:t xml:space="preserve">yra </w:t>
      </w:r>
      <w:r w:rsidRPr="00FA6337">
        <w:rPr>
          <w:b/>
          <w:bCs/>
        </w:rPr>
        <w:t>97,73 tūkst. Eur arba</w:t>
      </w:r>
      <w:r w:rsidRPr="000E7881">
        <w:rPr>
          <w:b/>
          <w:bCs/>
        </w:rPr>
        <w:t xml:space="preserve"> 4,67 proc. didesnės </w:t>
      </w:r>
      <w:r w:rsidRPr="003C453F">
        <w:t>nei įvertintos Pajamų baziniame lygyje (2094,189 tūkst. Eur).</w:t>
      </w:r>
    </w:p>
    <w:p w14:paraId="7B6F668B" w14:textId="77777777" w:rsidR="005E4CF6" w:rsidRDefault="005E4CF6" w:rsidP="005E4CF6">
      <w:pPr>
        <w:pStyle w:val="Pagrindiniotekstotrauka"/>
        <w:tabs>
          <w:tab w:val="left" w:pos="990"/>
          <w:tab w:val="left" w:pos="1260"/>
          <w:tab w:val="left" w:pos="1440"/>
          <w:tab w:val="left" w:pos="1710"/>
        </w:tabs>
      </w:pPr>
      <w:r>
        <w:t>Koreguotas Pajamų bazinis lygis ir veiksniai lėmę Pajamų bazinio lygio pastoviosios dalies pokytį pateikti 1 lentelėje.</w:t>
      </w:r>
    </w:p>
    <w:p w14:paraId="7BBDDBCE" w14:textId="77777777" w:rsidR="005E4CF6" w:rsidRDefault="005E4CF6" w:rsidP="005E4CF6">
      <w:pPr>
        <w:widowControl/>
        <w:tabs>
          <w:tab w:val="left" w:pos="1134"/>
          <w:tab w:val="left" w:pos="1418"/>
        </w:tabs>
        <w:suppressAutoHyphens w:val="0"/>
        <w:jc w:val="both"/>
      </w:pPr>
      <w:r>
        <w:t xml:space="preserve">1 </w:t>
      </w:r>
      <w:r w:rsidRPr="00F83E40">
        <w:t xml:space="preserve">lentelė. </w:t>
      </w:r>
      <w:r>
        <w:t>Pajamų bazinio lygio pastoviosios dalies pokytis</w:t>
      </w:r>
    </w:p>
    <w:tbl>
      <w:tblPr>
        <w:tblW w:w="9649" w:type="dxa"/>
        <w:tblInd w:w="-10" w:type="dxa"/>
        <w:tblLook w:val="04A0" w:firstRow="1" w:lastRow="0" w:firstColumn="1" w:lastColumn="0" w:noHBand="0" w:noVBand="1"/>
      </w:tblPr>
      <w:tblGrid>
        <w:gridCol w:w="1017"/>
        <w:gridCol w:w="3840"/>
        <w:gridCol w:w="787"/>
        <w:gridCol w:w="1023"/>
        <w:gridCol w:w="1046"/>
        <w:gridCol w:w="945"/>
        <w:gridCol w:w="997"/>
      </w:tblGrid>
      <w:tr w:rsidR="005E4CF6" w:rsidRPr="00214BBF" w14:paraId="6093E2E6" w14:textId="77777777" w:rsidTr="005F534C">
        <w:trPr>
          <w:trHeight w:val="276"/>
        </w:trPr>
        <w:tc>
          <w:tcPr>
            <w:tcW w:w="4855" w:type="dxa"/>
            <w:gridSpan w:val="2"/>
            <w:tcBorders>
              <w:top w:val="single" w:sz="8" w:space="0" w:color="auto"/>
              <w:left w:val="single" w:sz="8" w:space="0" w:color="auto"/>
              <w:bottom w:val="single" w:sz="4" w:space="0" w:color="auto"/>
              <w:right w:val="single" w:sz="4" w:space="0" w:color="auto"/>
            </w:tcBorders>
            <w:noWrap/>
            <w:vAlign w:val="center"/>
            <w:hideMark/>
          </w:tcPr>
          <w:p w14:paraId="3DA65636" w14:textId="77777777" w:rsidR="005E4CF6" w:rsidRPr="00214BBF" w:rsidRDefault="005E4CF6" w:rsidP="005F534C">
            <w:pPr>
              <w:jc w:val="center"/>
              <w:rPr>
                <w:color w:val="000000"/>
                <w:sz w:val="18"/>
                <w:szCs w:val="18"/>
              </w:rPr>
            </w:pPr>
            <w:r w:rsidRPr="00214BBF">
              <w:rPr>
                <w:color w:val="000000"/>
                <w:sz w:val="18"/>
                <w:szCs w:val="18"/>
              </w:rPr>
              <w:t>Rodikliai</w:t>
            </w:r>
          </w:p>
        </w:tc>
        <w:tc>
          <w:tcPr>
            <w:tcW w:w="785" w:type="dxa"/>
            <w:tcBorders>
              <w:top w:val="single" w:sz="8" w:space="0" w:color="auto"/>
              <w:left w:val="nil"/>
              <w:bottom w:val="single" w:sz="4" w:space="0" w:color="auto"/>
              <w:right w:val="single" w:sz="4" w:space="0" w:color="auto"/>
            </w:tcBorders>
            <w:noWrap/>
            <w:vAlign w:val="center"/>
            <w:hideMark/>
          </w:tcPr>
          <w:p w14:paraId="31463082" w14:textId="77777777" w:rsidR="005E4CF6" w:rsidRPr="00214BBF" w:rsidRDefault="005E4CF6" w:rsidP="005F534C">
            <w:pPr>
              <w:jc w:val="center"/>
              <w:rPr>
                <w:color w:val="000000"/>
                <w:sz w:val="18"/>
                <w:szCs w:val="18"/>
              </w:rPr>
            </w:pPr>
            <w:r w:rsidRPr="00214BBF">
              <w:rPr>
                <w:color w:val="000000"/>
                <w:sz w:val="18"/>
                <w:szCs w:val="18"/>
              </w:rPr>
              <w:t>Mato vnt.</w:t>
            </w:r>
          </w:p>
        </w:tc>
        <w:tc>
          <w:tcPr>
            <w:tcW w:w="1023" w:type="dxa"/>
            <w:tcBorders>
              <w:top w:val="single" w:sz="8" w:space="0" w:color="auto"/>
              <w:left w:val="nil"/>
              <w:bottom w:val="single" w:sz="4" w:space="0" w:color="auto"/>
              <w:right w:val="single" w:sz="4" w:space="0" w:color="auto"/>
            </w:tcBorders>
            <w:noWrap/>
            <w:vAlign w:val="center"/>
            <w:hideMark/>
          </w:tcPr>
          <w:p w14:paraId="6CBFAB5D" w14:textId="77777777" w:rsidR="005E4CF6" w:rsidRPr="00214BBF" w:rsidRDefault="005E4CF6" w:rsidP="005F534C">
            <w:pPr>
              <w:jc w:val="both"/>
              <w:rPr>
                <w:color w:val="000000"/>
                <w:sz w:val="18"/>
                <w:szCs w:val="18"/>
              </w:rPr>
            </w:pPr>
            <w:r w:rsidRPr="00214BBF">
              <w:rPr>
                <w:color w:val="000000"/>
                <w:sz w:val="18"/>
                <w:szCs w:val="18"/>
              </w:rPr>
              <w:t>Šilumos gamyba</w:t>
            </w:r>
          </w:p>
        </w:tc>
        <w:tc>
          <w:tcPr>
            <w:tcW w:w="1044" w:type="dxa"/>
            <w:tcBorders>
              <w:top w:val="single" w:sz="8" w:space="0" w:color="auto"/>
              <w:left w:val="nil"/>
              <w:bottom w:val="single" w:sz="4" w:space="0" w:color="auto"/>
              <w:right w:val="single" w:sz="4" w:space="0" w:color="auto"/>
            </w:tcBorders>
            <w:noWrap/>
            <w:vAlign w:val="center"/>
            <w:hideMark/>
          </w:tcPr>
          <w:p w14:paraId="101DFB36" w14:textId="77777777" w:rsidR="005E4CF6" w:rsidRPr="00214BBF" w:rsidRDefault="005E4CF6" w:rsidP="005F534C">
            <w:pPr>
              <w:jc w:val="both"/>
              <w:rPr>
                <w:color w:val="000000"/>
                <w:sz w:val="18"/>
                <w:szCs w:val="18"/>
              </w:rPr>
            </w:pPr>
            <w:r w:rsidRPr="00214BBF">
              <w:rPr>
                <w:color w:val="000000"/>
                <w:sz w:val="18"/>
                <w:szCs w:val="18"/>
              </w:rPr>
              <w:t>Šilumos perdavimas</w:t>
            </w:r>
          </w:p>
        </w:tc>
        <w:tc>
          <w:tcPr>
            <w:tcW w:w="945" w:type="dxa"/>
            <w:tcBorders>
              <w:top w:val="single" w:sz="8" w:space="0" w:color="auto"/>
              <w:left w:val="nil"/>
              <w:bottom w:val="single" w:sz="4" w:space="0" w:color="auto"/>
              <w:right w:val="single" w:sz="4" w:space="0" w:color="auto"/>
            </w:tcBorders>
            <w:noWrap/>
            <w:vAlign w:val="center"/>
            <w:hideMark/>
          </w:tcPr>
          <w:p w14:paraId="693AF3CC" w14:textId="77777777" w:rsidR="005E4CF6" w:rsidRPr="00214BBF" w:rsidRDefault="005E4CF6" w:rsidP="005F534C">
            <w:pPr>
              <w:jc w:val="both"/>
              <w:rPr>
                <w:color w:val="000000"/>
                <w:sz w:val="18"/>
                <w:szCs w:val="18"/>
              </w:rPr>
            </w:pPr>
            <w:r w:rsidRPr="00214BBF">
              <w:rPr>
                <w:color w:val="000000"/>
                <w:sz w:val="18"/>
                <w:szCs w:val="18"/>
              </w:rPr>
              <w:t>Mažmen</w:t>
            </w:r>
            <w:r>
              <w:rPr>
                <w:color w:val="000000"/>
                <w:sz w:val="18"/>
                <w:szCs w:val="18"/>
              </w:rPr>
              <w:t>.</w:t>
            </w:r>
            <w:r w:rsidRPr="00214BBF">
              <w:rPr>
                <w:color w:val="000000"/>
                <w:sz w:val="18"/>
                <w:szCs w:val="18"/>
              </w:rPr>
              <w:t xml:space="preserve"> </w:t>
            </w:r>
            <w:r>
              <w:rPr>
                <w:color w:val="000000"/>
                <w:sz w:val="18"/>
                <w:szCs w:val="18"/>
              </w:rPr>
              <w:t>a</w:t>
            </w:r>
            <w:r w:rsidRPr="00214BBF">
              <w:rPr>
                <w:color w:val="000000"/>
                <w:sz w:val="18"/>
                <w:szCs w:val="18"/>
              </w:rPr>
              <w:t>ptarnav</w:t>
            </w:r>
            <w:r>
              <w:rPr>
                <w:color w:val="000000"/>
                <w:sz w:val="18"/>
                <w:szCs w:val="18"/>
              </w:rPr>
              <w:t>.</w:t>
            </w:r>
          </w:p>
        </w:tc>
        <w:tc>
          <w:tcPr>
            <w:tcW w:w="997" w:type="dxa"/>
            <w:tcBorders>
              <w:top w:val="single" w:sz="8" w:space="0" w:color="auto"/>
              <w:left w:val="nil"/>
              <w:bottom w:val="single" w:sz="4" w:space="0" w:color="auto"/>
              <w:right w:val="single" w:sz="8" w:space="0" w:color="auto"/>
            </w:tcBorders>
            <w:noWrap/>
            <w:vAlign w:val="center"/>
            <w:hideMark/>
          </w:tcPr>
          <w:p w14:paraId="15A7C742" w14:textId="77777777" w:rsidR="005E4CF6" w:rsidRPr="00214BBF" w:rsidRDefault="005E4CF6" w:rsidP="005F534C">
            <w:pPr>
              <w:jc w:val="center"/>
              <w:rPr>
                <w:color w:val="000000"/>
                <w:sz w:val="18"/>
                <w:szCs w:val="18"/>
              </w:rPr>
            </w:pPr>
            <w:r w:rsidRPr="00214BBF">
              <w:rPr>
                <w:color w:val="000000"/>
                <w:sz w:val="18"/>
                <w:szCs w:val="18"/>
              </w:rPr>
              <w:t>Viso</w:t>
            </w:r>
          </w:p>
        </w:tc>
      </w:tr>
      <w:tr w:rsidR="005E4CF6" w:rsidRPr="00214BBF" w14:paraId="67980459" w14:textId="77777777" w:rsidTr="005F534C">
        <w:trPr>
          <w:trHeight w:val="276"/>
        </w:trPr>
        <w:tc>
          <w:tcPr>
            <w:tcW w:w="4855"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24748D0A" w14:textId="77777777" w:rsidR="005E4CF6" w:rsidRPr="00214BBF" w:rsidRDefault="005E4CF6" w:rsidP="005F534C">
            <w:pPr>
              <w:rPr>
                <w:i/>
                <w:iCs/>
                <w:color w:val="000000"/>
                <w:sz w:val="18"/>
                <w:szCs w:val="18"/>
              </w:rPr>
            </w:pPr>
            <w:r w:rsidRPr="00214BBF">
              <w:rPr>
                <w:i/>
                <w:iCs/>
                <w:color w:val="000000"/>
                <w:sz w:val="18"/>
                <w:szCs w:val="18"/>
              </w:rPr>
              <w:t>Pajamų bazinio lygio pastovioji dedamoji</w:t>
            </w:r>
          </w:p>
        </w:tc>
        <w:tc>
          <w:tcPr>
            <w:tcW w:w="785" w:type="dxa"/>
            <w:tcBorders>
              <w:top w:val="nil"/>
              <w:left w:val="nil"/>
              <w:bottom w:val="single" w:sz="4" w:space="0" w:color="auto"/>
              <w:right w:val="single" w:sz="4" w:space="0" w:color="auto"/>
            </w:tcBorders>
            <w:shd w:val="clear" w:color="000000" w:fill="F2F2F2"/>
            <w:noWrap/>
            <w:vAlign w:val="center"/>
            <w:hideMark/>
          </w:tcPr>
          <w:p w14:paraId="2653794C" w14:textId="77777777" w:rsidR="005E4CF6" w:rsidRPr="00214BBF" w:rsidRDefault="005E4CF6" w:rsidP="005F534C">
            <w:pPr>
              <w:jc w:val="center"/>
              <w:rPr>
                <w:i/>
                <w:iCs/>
                <w:color w:val="000000"/>
                <w:sz w:val="18"/>
                <w:szCs w:val="18"/>
              </w:rPr>
            </w:pPr>
            <w:r w:rsidRPr="00214BBF">
              <w:rPr>
                <w:i/>
                <w:iCs/>
                <w:color w:val="000000"/>
                <w:sz w:val="18"/>
                <w:szCs w:val="18"/>
              </w:rPr>
              <w:t>ct/kWh</w:t>
            </w:r>
          </w:p>
        </w:tc>
        <w:tc>
          <w:tcPr>
            <w:tcW w:w="1023" w:type="dxa"/>
            <w:tcBorders>
              <w:top w:val="nil"/>
              <w:left w:val="nil"/>
              <w:bottom w:val="single" w:sz="4" w:space="0" w:color="auto"/>
              <w:right w:val="single" w:sz="4" w:space="0" w:color="auto"/>
            </w:tcBorders>
            <w:shd w:val="clear" w:color="000000" w:fill="F2F2F2"/>
            <w:noWrap/>
            <w:vAlign w:val="center"/>
            <w:hideMark/>
          </w:tcPr>
          <w:p w14:paraId="6B612914" w14:textId="77777777" w:rsidR="005E4CF6" w:rsidRPr="00214BBF" w:rsidRDefault="005E4CF6" w:rsidP="005F534C">
            <w:pPr>
              <w:jc w:val="center"/>
              <w:rPr>
                <w:i/>
                <w:iCs/>
                <w:color w:val="000000"/>
                <w:sz w:val="18"/>
                <w:szCs w:val="18"/>
              </w:rPr>
            </w:pPr>
            <w:r w:rsidRPr="00214BBF">
              <w:rPr>
                <w:i/>
                <w:iCs/>
                <w:color w:val="000000"/>
                <w:sz w:val="18"/>
                <w:szCs w:val="18"/>
              </w:rPr>
              <w:t>3,72</w:t>
            </w:r>
          </w:p>
        </w:tc>
        <w:tc>
          <w:tcPr>
            <w:tcW w:w="1044" w:type="dxa"/>
            <w:tcBorders>
              <w:top w:val="nil"/>
              <w:left w:val="nil"/>
              <w:bottom w:val="single" w:sz="4" w:space="0" w:color="auto"/>
              <w:right w:val="single" w:sz="4" w:space="0" w:color="auto"/>
            </w:tcBorders>
            <w:shd w:val="clear" w:color="000000" w:fill="F2F2F2"/>
            <w:noWrap/>
            <w:vAlign w:val="center"/>
            <w:hideMark/>
          </w:tcPr>
          <w:p w14:paraId="0971E79E" w14:textId="77777777" w:rsidR="005E4CF6" w:rsidRPr="00214BBF" w:rsidRDefault="005E4CF6" w:rsidP="005F534C">
            <w:pPr>
              <w:jc w:val="center"/>
              <w:rPr>
                <w:i/>
                <w:iCs/>
                <w:color w:val="000000"/>
                <w:sz w:val="18"/>
                <w:szCs w:val="18"/>
              </w:rPr>
            </w:pPr>
            <w:r w:rsidRPr="00214BBF">
              <w:rPr>
                <w:i/>
                <w:iCs/>
                <w:color w:val="000000"/>
                <w:sz w:val="18"/>
                <w:szCs w:val="18"/>
              </w:rPr>
              <w:t>1,29</w:t>
            </w:r>
          </w:p>
        </w:tc>
        <w:tc>
          <w:tcPr>
            <w:tcW w:w="945" w:type="dxa"/>
            <w:tcBorders>
              <w:top w:val="nil"/>
              <w:left w:val="nil"/>
              <w:bottom w:val="single" w:sz="4" w:space="0" w:color="auto"/>
              <w:right w:val="single" w:sz="4" w:space="0" w:color="auto"/>
            </w:tcBorders>
            <w:shd w:val="clear" w:color="000000" w:fill="F2F2F2"/>
            <w:noWrap/>
            <w:vAlign w:val="center"/>
            <w:hideMark/>
          </w:tcPr>
          <w:p w14:paraId="71CF5BE8" w14:textId="77777777" w:rsidR="005E4CF6" w:rsidRPr="00214BBF" w:rsidRDefault="005E4CF6" w:rsidP="005F534C">
            <w:pPr>
              <w:jc w:val="center"/>
              <w:rPr>
                <w:i/>
                <w:iCs/>
                <w:color w:val="000000"/>
                <w:sz w:val="18"/>
                <w:szCs w:val="18"/>
              </w:rPr>
            </w:pPr>
            <w:r w:rsidRPr="00214BBF">
              <w:rPr>
                <w:i/>
                <w:iCs/>
                <w:color w:val="000000"/>
                <w:sz w:val="18"/>
                <w:szCs w:val="18"/>
              </w:rPr>
              <w:t>0,23</w:t>
            </w:r>
          </w:p>
        </w:tc>
        <w:tc>
          <w:tcPr>
            <w:tcW w:w="997" w:type="dxa"/>
            <w:tcBorders>
              <w:top w:val="nil"/>
              <w:left w:val="nil"/>
              <w:bottom w:val="single" w:sz="4" w:space="0" w:color="auto"/>
              <w:right w:val="single" w:sz="8" w:space="0" w:color="auto"/>
            </w:tcBorders>
            <w:shd w:val="clear" w:color="000000" w:fill="F2F2F2"/>
            <w:noWrap/>
            <w:vAlign w:val="center"/>
            <w:hideMark/>
          </w:tcPr>
          <w:p w14:paraId="3B05C65F" w14:textId="77777777" w:rsidR="005E4CF6" w:rsidRPr="00214BBF" w:rsidRDefault="005E4CF6" w:rsidP="005F534C">
            <w:pPr>
              <w:jc w:val="center"/>
              <w:rPr>
                <w:i/>
                <w:iCs/>
                <w:color w:val="000000"/>
                <w:sz w:val="18"/>
                <w:szCs w:val="18"/>
              </w:rPr>
            </w:pPr>
            <w:r w:rsidRPr="00214BBF">
              <w:rPr>
                <w:i/>
                <w:iCs/>
                <w:color w:val="000000"/>
                <w:sz w:val="18"/>
                <w:szCs w:val="18"/>
              </w:rPr>
              <w:t>5,24</w:t>
            </w:r>
          </w:p>
        </w:tc>
      </w:tr>
      <w:tr w:rsidR="005E4CF6" w:rsidRPr="00214BBF" w14:paraId="4806B8AE" w14:textId="77777777" w:rsidTr="005F534C">
        <w:trPr>
          <w:trHeight w:val="276"/>
        </w:trPr>
        <w:tc>
          <w:tcPr>
            <w:tcW w:w="4855"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4DEBC25E" w14:textId="77777777" w:rsidR="005E4CF6" w:rsidRPr="00214BBF" w:rsidRDefault="005E4CF6" w:rsidP="005F534C">
            <w:pPr>
              <w:jc w:val="both"/>
              <w:rPr>
                <w:b/>
                <w:bCs/>
                <w:color w:val="000000"/>
                <w:sz w:val="18"/>
                <w:szCs w:val="18"/>
              </w:rPr>
            </w:pPr>
            <w:r w:rsidRPr="00214BBF">
              <w:rPr>
                <w:b/>
                <w:bCs/>
                <w:color w:val="000000"/>
                <w:sz w:val="18"/>
                <w:szCs w:val="18"/>
              </w:rPr>
              <w:t>Pajamų bazinio lygio pastoviosios sąnaudos ir investicijų grąža</w:t>
            </w:r>
          </w:p>
        </w:tc>
        <w:tc>
          <w:tcPr>
            <w:tcW w:w="785" w:type="dxa"/>
            <w:tcBorders>
              <w:top w:val="nil"/>
              <w:left w:val="nil"/>
              <w:bottom w:val="single" w:sz="4" w:space="0" w:color="auto"/>
              <w:right w:val="single" w:sz="4" w:space="0" w:color="auto"/>
            </w:tcBorders>
            <w:shd w:val="clear" w:color="000000" w:fill="F2F2F2"/>
            <w:noWrap/>
            <w:vAlign w:val="center"/>
            <w:hideMark/>
          </w:tcPr>
          <w:p w14:paraId="688C6989" w14:textId="77777777" w:rsidR="005E4CF6" w:rsidRPr="00214BBF" w:rsidRDefault="005E4CF6" w:rsidP="005F534C">
            <w:pPr>
              <w:jc w:val="center"/>
              <w:rPr>
                <w:b/>
                <w:bCs/>
                <w:color w:val="000000"/>
                <w:sz w:val="18"/>
                <w:szCs w:val="18"/>
              </w:rPr>
            </w:pPr>
            <w:r w:rsidRPr="00214BBF">
              <w:rPr>
                <w:b/>
                <w:bCs/>
                <w:color w:val="000000"/>
                <w:sz w:val="18"/>
                <w:szCs w:val="18"/>
              </w:rPr>
              <w:t>Eur</w:t>
            </w:r>
          </w:p>
        </w:tc>
        <w:tc>
          <w:tcPr>
            <w:tcW w:w="1023" w:type="dxa"/>
            <w:tcBorders>
              <w:top w:val="nil"/>
              <w:left w:val="nil"/>
              <w:bottom w:val="single" w:sz="4" w:space="0" w:color="auto"/>
              <w:right w:val="single" w:sz="4" w:space="0" w:color="auto"/>
            </w:tcBorders>
            <w:shd w:val="clear" w:color="000000" w:fill="F2F2F2"/>
            <w:noWrap/>
            <w:vAlign w:val="center"/>
            <w:hideMark/>
          </w:tcPr>
          <w:p w14:paraId="6DB9A15B" w14:textId="77777777" w:rsidR="005E4CF6" w:rsidRPr="00214BBF" w:rsidRDefault="005E4CF6" w:rsidP="005F534C">
            <w:pPr>
              <w:jc w:val="center"/>
              <w:rPr>
                <w:b/>
                <w:bCs/>
                <w:color w:val="000000"/>
                <w:sz w:val="18"/>
                <w:szCs w:val="18"/>
              </w:rPr>
            </w:pPr>
            <w:r w:rsidRPr="00214BBF">
              <w:rPr>
                <w:b/>
                <w:bCs/>
                <w:color w:val="000000"/>
                <w:sz w:val="18"/>
                <w:szCs w:val="18"/>
              </w:rPr>
              <w:t>1 559 715</w:t>
            </w:r>
          </w:p>
        </w:tc>
        <w:tc>
          <w:tcPr>
            <w:tcW w:w="1044" w:type="dxa"/>
            <w:tcBorders>
              <w:top w:val="nil"/>
              <w:left w:val="nil"/>
              <w:bottom w:val="single" w:sz="4" w:space="0" w:color="auto"/>
              <w:right w:val="single" w:sz="4" w:space="0" w:color="auto"/>
            </w:tcBorders>
            <w:shd w:val="clear" w:color="000000" w:fill="F2F2F2"/>
            <w:noWrap/>
            <w:vAlign w:val="center"/>
            <w:hideMark/>
          </w:tcPr>
          <w:p w14:paraId="0570122E" w14:textId="77777777" w:rsidR="005E4CF6" w:rsidRPr="00214BBF" w:rsidRDefault="005E4CF6" w:rsidP="005F534C">
            <w:pPr>
              <w:jc w:val="center"/>
              <w:rPr>
                <w:b/>
                <w:bCs/>
                <w:color w:val="000000"/>
                <w:sz w:val="18"/>
                <w:szCs w:val="18"/>
              </w:rPr>
            </w:pPr>
            <w:r w:rsidRPr="00214BBF">
              <w:rPr>
                <w:b/>
                <w:bCs/>
                <w:color w:val="000000"/>
                <w:sz w:val="18"/>
                <w:szCs w:val="18"/>
              </w:rPr>
              <w:t>454 233</w:t>
            </w:r>
          </w:p>
        </w:tc>
        <w:tc>
          <w:tcPr>
            <w:tcW w:w="945" w:type="dxa"/>
            <w:tcBorders>
              <w:top w:val="nil"/>
              <w:left w:val="nil"/>
              <w:bottom w:val="single" w:sz="4" w:space="0" w:color="auto"/>
              <w:right w:val="single" w:sz="4" w:space="0" w:color="auto"/>
            </w:tcBorders>
            <w:shd w:val="clear" w:color="000000" w:fill="F2F2F2"/>
            <w:noWrap/>
            <w:vAlign w:val="center"/>
            <w:hideMark/>
          </w:tcPr>
          <w:p w14:paraId="37761467" w14:textId="77777777" w:rsidR="005E4CF6" w:rsidRPr="00214BBF" w:rsidRDefault="005E4CF6" w:rsidP="005F534C">
            <w:pPr>
              <w:jc w:val="center"/>
              <w:rPr>
                <w:b/>
                <w:bCs/>
                <w:color w:val="000000"/>
                <w:sz w:val="18"/>
                <w:szCs w:val="18"/>
              </w:rPr>
            </w:pPr>
            <w:r w:rsidRPr="00214BBF">
              <w:rPr>
                <w:b/>
                <w:bCs/>
                <w:color w:val="000000"/>
                <w:sz w:val="18"/>
                <w:szCs w:val="18"/>
              </w:rPr>
              <w:t>80 241</w:t>
            </w:r>
          </w:p>
        </w:tc>
        <w:tc>
          <w:tcPr>
            <w:tcW w:w="997" w:type="dxa"/>
            <w:tcBorders>
              <w:top w:val="nil"/>
              <w:left w:val="nil"/>
              <w:bottom w:val="single" w:sz="4" w:space="0" w:color="auto"/>
              <w:right w:val="single" w:sz="8" w:space="0" w:color="auto"/>
            </w:tcBorders>
            <w:shd w:val="clear" w:color="000000" w:fill="F2F2F2"/>
            <w:noWrap/>
            <w:vAlign w:val="center"/>
            <w:hideMark/>
          </w:tcPr>
          <w:p w14:paraId="47F974E8" w14:textId="77777777" w:rsidR="005E4CF6" w:rsidRPr="00214BBF" w:rsidRDefault="005E4CF6" w:rsidP="005F534C">
            <w:pPr>
              <w:jc w:val="center"/>
              <w:rPr>
                <w:b/>
                <w:bCs/>
                <w:color w:val="000000"/>
                <w:sz w:val="18"/>
                <w:szCs w:val="18"/>
              </w:rPr>
            </w:pPr>
            <w:r w:rsidRPr="00214BBF">
              <w:rPr>
                <w:b/>
                <w:bCs/>
                <w:color w:val="000000"/>
                <w:sz w:val="18"/>
                <w:szCs w:val="18"/>
              </w:rPr>
              <w:t>2 094 189</w:t>
            </w:r>
          </w:p>
        </w:tc>
      </w:tr>
      <w:tr w:rsidR="005E4CF6" w:rsidRPr="00214BBF" w14:paraId="6D2E8EA3" w14:textId="77777777" w:rsidTr="005F534C">
        <w:trPr>
          <w:trHeight w:val="276"/>
        </w:trPr>
        <w:tc>
          <w:tcPr>
            <w:tcW w:w="4855" w:type="dxa"/>
            <w:gridSpan w:val="2"/>
            <w:tcBorders>
              <w:top w:val="single" w:sz="4" w:space="0" w:color="auto"/>
              <w:left w:val="single" w:sz="8" w:space="0" w:color="auto"/>
              <w:bottom w:val="single" w:sz="4" w:space="0" w:color="auto"/>
              <w:right w:val="single" w:sz="4" w:space="0" w:color="auto"/>
            </w:tcBorders>
            <w:noWrap/>
            <w:vAlign w:val="center"/>
            <w:hideMark/>
          </w:tcPr>
          <w:p w14:paraId="44E7C13B" w14:textId="77777777" w:rsidR="005E4CF6" w:rsidRPr="00214BBF" w:rsidRDefault="005E4CF6" w:rsidP="005F534C">
            <w:pPr>
              <w:ind w:firstLineChars="400" w:firstLine="720"/>
              <w:rPr>
                <w:color w:val="000000"/>
                <w:sz w:val="18"/>
                <w:szCs w:val="18"/>
              </w:rPr>
            </w:pPr>
            <w:r w:rsidRPr="00214BBF">
              <w:rPr>
                <w:color w:val="000000"/>
                <w:sz w:val="18"/>
                <w:szCs w:val="18"/>
              </w:rPr>
              <w:t>tame sk. pastoviosios sąnaudos</w:t>
            </w:r>
          </w:p>
        </w:tc>
        <w:tc>
          <w:tcPr>
            <w:tcW w:w="785" w:type="dxa"/>
            <w:tcBorders>
              <w:top w:val="nil"/>
              <w:left w:val="nil"/>
              <w:bottom w:val="single" w:sz="4" w:space="0" w:color="auto"/>
              <w:right w:val="single" w:sz="4" w:space="0" w:color="auto"/>
            </w:tcBorders>
            <w:noWrap/>
            <w:vAlign w:val="center"/>
            <w:hideMark/>
          </w:tcPr>
          <w:p w14:paraId="09ECBBFE" w14:textId="77777777" w:rsidR="005E4CF6" w:rsidRPr="00214BBF" w:rsidRDefault="005E4CF6" w:rsidP="005F534C">
            <w:pPr>
              <w:jc w:val="center"/>
              <w:rPr>
                <w:color w:val="000000"/>
                <w:sz w:val="18"/>
                <w:szCs w:val="18"/>
              </w:rPr>
            </w:pPr>
            <w:r w:rsidRPr="00214BBF">
              <w:rPr>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59F4C4A8" w14:textId="77777777" w:rsidR="005E4CF6" w:rsidRPr="00214BBF" w:rsidRDefault="005E4CF6" w:rsidP="005F534C">
            <w:pPr>
              <w:jc w:val="center"/>
              <w:rPr>
                <w:color w:val="000000"/>
                <w:sz w:val="18"/>
                <w:szCs w:val="18"/>
              </w:rPr>
            </w:pPr>
            <w:r w:rsidRPr="00214BBF">
              <w:rPr>
                <w:color w:val="000000"/>
                <w:sz w:val="18"/>
                <w:szCs w:val="18"/>
              </w:rPr>
              <w:t>1 382 324</w:t>
            </w:r>
          </w:p>
        </w:tc>
        <w:tc>
          <w:tcPr>
            <w:tcW w:w="1044" w:type="dxa"/>
            <w:tcBorders>
              <w:top w:val="nil"/>
              <w:left w:val="nil"/>
              <w:bottom w:val="single" w:sz="4" w:space="0" w:color="auto"/>
              <w:right w:val="single" w:sz="4" w:space="0" w:color="auto"/>
            </w:tcBorders>
            <w:noWrap/>
            <w:vAlign w:val="center"/>
            <w:hideMark/>
          </w:tcPr>
          <w:p w14:paraId="1E294284" w14:textId="77777777" w:rsidR="005E4CF6" w:rsidRPr="00214BBF" w:rsidRDefault="005E4CF6" w:rsidP="005F534C">
            <w:pPr>
              <w:jc w:val="center"/>
              <w:rPr>
                <w:color w:val="000000"/>
                <w:sz w:val="18"/>
                <w:szCs w:val="18"/>
              </w:rPr>
            </w:pPr>
            <w:r w:rsidRPr="00214BBF">
              <w:rPr>
                <w:color w:val="000000"/>
                <w:sz w:val="18"/>
                <w:szCs w:val="18"/>
              </w:rPr>
              <w:t>383 083</w:t>
            </w:r>
          </w:p>
        </w:tc>
        <w:tc>
          <w:tcPr>
            <w:tcW w:w="945" w:type="dxa"/>
            <w:tcBorders>
              <w:top w:val="nil"/>
              <w:left w:val="nil"/>
              <w:bottom w:val="single" w:sz="4" w:space="0" w:color="auto"/>
              <w:right w:val="single" w:sz="4" w:space="0" w:color="auto"/>
            </w:tcBorders>
            <w:noWrap/>
            <w:vAlign w:val="center"/>
            <w:hideMark/>
          </w:tcPr>
          <w:p w14:paraId="2FE9817E" w14:textId="77777777" w:rsidR="005E4CF6" w:rsidRPr="00214BBF" w:rsidRDefault="005E4CF6" w:rsidP="005F534C">
            <w:pPr>
              <w:jc w:val="center"/>
              <w:rPr>
                <w:color w:val="000000"/>
                <w:sz w:val="18"/>
                <w:szCs w:val="18"/>
              </w:rPr>
            </w:pPr>
            <w:r w:rsidRPr="00214BBF">
              <w:rPr>
                <w:color w:val="000000"/>
                <w:sz w:val="18"/>
                <w:szCs w:val="18"/>
              </w:rPr>
              <w:t>75 153</w:t>
            </w:r>
          </w:p>
        </w:tc>
        <w:tc>
          <w:tcPr>
            <w:tcW w:w="997" w:type="dxa"/>
            <w:tcBorders>
              <w:top w:val="nil"/>
              <w:left w:val="nil"/>
              <w:bottom w:val="single" w:sz="4" w:space="0" w:color="auto"/>
              <w:right w:val="single" w:sz="8" w:space="0" w:color="auto"/>
            </w:tcBorders>
            <w:noWrap/>
            <w:vAlign w:val="center"/>
            <w:hideMark/>
          </w:tcPr>
          <w:p w14:paraId="2C1999D0" w14:textId="77777777" w:rsidR="005E4CF6" w:rsidRPr="00214BBF" w:rsidRDefault="005E4CF6" w:rsidP="005F534C">
            <w:pPr>
              <w:jc w:val="center"/>
              <w:rPr>
                <w:color w:val="000000"/>
                <w:sz w:val="18"/>
                <w:szCs w:val="18"/>
              </w:rPr>
            </w:pPr>
            <w:r w:rsidRPr="00214BBF">
              <w:rPr>
                <w:color w:val="000000"/>
                <w:sz w:val="18"/>
                <w:szCs w:val="18"/>
              </w:rPr>
              <w:t>1 840 560</w:t>
            </w:r>
          </w:p>
        </w:tc>
      </w:tr>
      <w:tr w:rsidR="005E4CF6" w:rsidRPr="00214BBF" w14:paraId="10F840BA" w14:textId="77777777" w:rsidTr="005F534C">
        <w:trPr>
          <w:trHeight w:val="276"/>
        </w:trPr>
        <w:tc>
          <w:tcPr>
            <w:tcW w:w="4855" w:type="dxa"/>
            <w:gridSpan w:val="2"/>
            <w:tcBorders>
              <w:top w:val="single" w:sz="4" w:space="0" w:color="auto"/>
              <w:left w:val="single" w:sz="8" w:space="0" w:color="auto"/>
              <w:bottom w:val="single" w:sz="4" w:space="0" w:color="auto"/>
              <w:right w:val="single" w:sz="4" w:space="0" w:color="auto"/>
            </w:tcBorders>
            <w:noWrap/>
            <w:vAlign w:val="center"/>
            <w:hideMark/>
          </w:tcPr>
          <w:p w14:paraId="2E22E765" w14:textId="77777777" w:rsidR="005E4CF6" w:rsidRPr="00214BBF" w:rsidRDefault="005E4CF6" w:rsidP="005F534C">
            <w:pPr>
              <w:ind w:firstLineChars="400" w:firstLine="720"/>
              <w:rPr>
                <w:color w:val="000000"/>
                <w:sz w:val="18"/>
                <w:szCs w:val="18"/>
              </w:rPr>
            </w:pPr>
            <w:r w:rsidRPr="00214BBF">
              <w:rPr>
                <w:color w:val="000000"/>
                <w:sz w:val="18"/>
                <w:szCs w:val="18"/>
              </w:rPr>
              <w:t>investicijų grąža</w:t>
            </w:r>
          </w:p>
        </w:tc>
        <w:tc>
          <w:tcPr>
            <w:tcW w:w="785" w:type="dxa"/>
            <w:tcBorders>
              <w:top w:val="nil"/>
              <w:left w:val="nil"/>
              <w:bottom w:val="single" w:sz="4" w:space="0" w:color="auto"/>
              <w:right w:val="single" w:sz="4" w:space="0" w:color="auto"/>
            </w:tcBorders>
            <w:noWrap/>
            <w:vAlign w:val="center"/>
            <w:hideMark/>
          </w:tcPr>
          <w:p w14:paraId="0C13E1FD" w14:textId="77777777" w:rsidR="005E4CF6" w:rsidRPr="00214BBF" w:rsidRDefault="005E4CF6" w:rsidP="005F534C">
            <w:pPr>
              <w:jc w:val="center"/>
              <w:rPr>
                <w:color w:val="000000"/>
                <w:sz w:val="18"/>
                <w:szCs w:val="18"/>
              </w:rPr>
            </w:pPr>
            <w:r w:rsidRPr="00214BBF">
              <w:rPr>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71D167A5" w14:textId="77777777" w:rsidR="005E4CF6" w:rsidRPr="00214BBF" w:rsidRDefault="005E4CF6" w:rsidP="005F534C">
            <w:pPr>
              <w:jc w:val="center"/>
              <w:rPr>
                <w:color w:val="000000"/>
                <w:sz w:val="18"/>
                <w:szCs w:val="18"/>
              </w:rPr>
            </w:pPr>
            <w:r w:rsidRPr="00214BBF">
              <w:rPr>
                <w:color w:val="000000"/>
                <w:sz w:val="18"/>
                <w:szCs w:val="18"/>
              </w:rPr>
              <w:t>177 391</w:t>
            </w:r>
          </w:p>
        </w:tc>
        <w:tc>
          <w:tcPr>
            <w:tcW w:w="1044" w:type="dxa"/>
            <w:tcBorders>
              <w:top w:val="nil"/>
              <w:left w:val="nil"/>
              <w:bottom w:val="single" w:sz="4" w:space="0" w:color="auto"/>
              <w:right w:val="single" w:sz="4" w:space="0" w:color="auto"/>
            </w:tcBorders>
            <w:noWrap/>
            <w:vAlign w:val="center"/>
            <w:hideMark/>
          </w:tcPr>
          <w:p w14:paraId="098222C0" w14:textId="77777777" w:rsidR="005E4CF6" w:rsidRPr="00214BBF" w:rsidRDefault="005E4CF6" w:rsidP="005F534C">
            <w:pPr>
              <w:jc w:val="center"/>
              <w:rPr>
                <w:color w:val="000000"/>
                <w:sz w:val="18"/>
                <w:szCs w:val="18"/>
              </w:rPr>
            </w:pPr>
            <w:r w:rsidRPr="00214BBF">
              <w:rPr>
                <w:color w:val="000000"/>
                <w:sz w:val="18"/>
                <w:szCs w:val="18"/>
              </w:rPr>
              <w:t>71 150</w:t>
            </w:r>
          </w:p>
        </w:tc>
        <w:tc>
          <w:tcPr>
            <w:tcW w:w="945" w:type="dxa"/>
            <w:tcBorders>
              <w:top w:val="nil"/>
              <w:left w:val="nil"/>
              <w:bottom w:val="single" w:sz="4" w:space="0" w:color="auto"/>
              <w:right w:val="single" w:sz="4" w:space="0" w:color="auto"/>
            </w:tcBorders>
            <w:noWrap/>
            <w:vAlign w:val="center"/>
            <w:hideMark/>
          </w:tcPr>
          <w:p w14:paraId="607BD253" w14:textId="77777777" w:rsidR="005E4CF6" w:rsidRPr="00214BBF" w:rsidRDefault="005E4CF6" w:rsidP="005F534C">
            <w:pPr>
              <w:jc w:val="center"/>
              <w:rPr>
                <w:color w:val="000000"/>
                <w:sz w:val="18"/>
                <w:szCs w:val="18"/>
              </w:rPr>
            </w:pPr>
            <w:r w:rsidRPr="00214BBF">
              <w:rPr>
                <w:color w:val="000000"/>
                <w:sz w:val="18"/>
                <w:szCs w:val="18"/>
              </w:rPr>
              <w:t>5 088</w:t>
            </w:r>
          </w:p>
        </w:tc>
        <w:tc>
          <w:tcPr>
            <w:tcW w:w="997" w:type="dxa"/>
            <w:tcBorders>
              <w:top w:val="nil"/>
              <w:left w:val="nil"/>
              <w:bottom w:val="single" w:sz="4" w:space="0" w:color="auto"/>
              <w:right w:val="single" w:sz="8" w:space="0" w:color="auto"/>
            </w:tcBorders>
            <w:noWrap/>
            <w:vAlign w:val="center"/>
            <w:hideMark/>
          </w:tcPr>
          <w:p w14:paraId="0940AB4C" w14:textId="77777777" w:rsidR="005E4CF6" w:rsidRPr="00214BBF" w:rsidRDefault="005E4CF6" w:rsidP="005F534C">
            <w:pPr>
              <w:jc w:val="center"/>
              <w:rPr>
                <w:color w:val="000000"/>
                <w:sz w:val="18"/>
                <w:szCs w:val="18"/>
              </w:rPr>
            </w:pPr>
            <w:r w:rsidRPr="00214BBF">
              <w:rPr>
                <w:color w:val="000000"/>
                <w:sz w:val="18"/>
                <w:szCs w:val="18"/>
              </w:rPr>
              <w:t>253 629</w:t>
            </w:r>
          </w:p>
        </w:tc>
      </w:tr>
      <w:tr w:rsidR="005E4CF6" w:rsidRPr="00214BBF" w14:paraId="02F4CF8E" w14:textId="77777777" w:rsidTr="005F534C">
        <w:trPr>
          <w:trHeight w:val="276"/>
        </w:trPr>
        <w:tc>
          <w:tcPr>
            <w:tcW w:w="1015" w:type="dxa"/>
            <w:tcBorders>
              <w:top w:val="nil"/>
              <w:left w:val="single" w:sz="8" w:space="0" w:color="auto"/>
              <w:bottom w:val="single" w:sz="4" w:space="0" w:color="auto"/>
              <w:right w:val="single" w:sz="4" w:space="0" w:color="auto"/>
            </w:tcBorders>
            <w:noWrap/>
            <w:vAlign w:val="center"/>
            <w:hideMark/>
          </w:tcPr>
          <w:p w14:paraId="1ED7E94D" w14:textId="77777777" w:rsidR="005E4CF6" w:rsidRPr="00214BBF" w:rsidRDefault="005E4CF6" w:rsidP="005F534C">
            <w:pPr>
              <w:jc w:val="center"/>
              <w:rPr>
                <w:i/>
                <w:iCs/>
                <w:sz w:val="18"/>
                <w:szCs w:val="18"/>
              </w:rPr>
            </w:pPr>
            <w:r w:rsidRPr="00214BBF">
              <w:rPr>
                <w:i/>
                <w:iCs/>
                <w:sz w:val="18"/>
                <w:szCs w:val="18"/>
              </w:rPr>
              <w:t>∆FC</w:t>
            </w:r>
            <w:r w:rsidRPr="00214BBF">
              <w:rPr>
                <w:i/>
                <w:iCs/>
                <w:sz w:val="18"/>
                <w:szCs w:val="18"/>
                <w:vertAlign w:val="subscript"/>
              </w:rPr>
              <w:t>VKI,2</w:t>
            </w:r>
          </w:p>
        </w:tc>
        <w:tc>
          <w:tcPr>
            <w:tcW w:w="3840" w:type="dxa"/>
            <w:tcBorders>
              <w:top w:val="nil"/>
              <w:left w:val="nil"/>
              <w:bottom w:val="single" w:sz="4" w:space="0" w:color="auto"/>
              <w:right w:val="single" w:sz="4" w:space="0" w:color="auto"/>
            </w:tcBorders>
            <w:noWrap/>
            <w:vAlign w:val="center"/>
            <w:hideMark/>
          </w:tcPr>
          <w:p w14:paraId="5C1DFE9F" w14:textId="77777777" w:rsidR="005E4CF6" w:rsidRPr="00214BBF" w:rsidRDefault="005E4CF6" w:rsidP="005F534C">
            <w:pPr>
              <w:jc w:val="both"/>
              <w:rPr>
                <w:i/>
                <w:iCs/>
                <w:sz w:val="18"/>
                <w:szCs w:val="18"/>
              </w:rPr>
            </w:pPr>
            <w:r w:rsidRPr="00214BBF">
              <w:rPr>
                <w:i/>
                <w:iCs/>
                <w:sz w:val="18"/>
                <w:szCs w:val="18"/>
              </w:rPr>
              <w:t>Pastoviųjų sąnaudų pokytis dėl infliacijos koeficiento</w:t>
            </w:r>
          </w:p>
        </w:tc>
        <w:tc>
          <w:tcPr>
            <w:tcW w:w="785" w:type="dxa"/>
            <w:tcBorders>
              <w:top w:val="nil"/>
              <w:left w:val="nil"/>
              <w:bottom w:val="single" w:sz="4" w:space="0" w:color="auto"/>
              <w:right w:val="single" w:sz="4" w:space="0" w:color="auto"/>
            </w:tcBorders>
            <w:noWrap/>
            <w:vAlign w:val="center"/>
            <w:hideMark/>
          </w:tcPr>
          <w:p w14:paraId="05BDF6D4" w14:textId="77777777" w:rsidR="005E4CF6" w:rsidRPr="00214BBF" w:rsidRDefault="005E4CF6" w:rsidP="005F534C">
            <w:pPr>
              <w:jc w:val="center"/>
              <w:rPr>
                <w:i/>
                <w:iCs/>
                <w:color w:val="000000"/>
                <w:sz w:val="18"/>
                <w:szCs w:val="18"/>
              </w:rPr>
            </w:pPr>
            <w:r w:rsidRPr="00214BBF">
              <w:rPr>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63B2C70E" w14:textId="77777777" w:rsidR="005E4CF6" w:rsidRPr="00214BBF" w:rsidRDefault="005E4CF6" w:rsidP="005F534C">
            <w:pPr>
              <w:jc w:val="center"/>
              <w:rPr>
                <w:i/>
                <w:iCs/>
                <w:color w:val="000000"/>
                <w:sz w:val="18"/>
                <w:szCs w:val="18"/>
              </w:rPr>
            </w:pPr>
            <w:r w:rsidRPr="00214BBF">
              <w:rPr>
                <w:i/>
                <w:iCs/>
                <w:color w:val="000000"/>
                <w:sz w:val="18"/>
                <w:szCs w:val="18"/>
              </w:rPr>
              <w:t>3 592</w:t>
            </w:r>
          </w:p>
        </w:tc>
        <w:tc>
          <w:tcPr>
            <w:tcW w:w="1044" w:type="dxa"/>
            <w:tcBorders>
              <w:top w:val="nil"/>
              <w:left w:val="nil"/>
              <w:bottom w:val="single" w:sz="4" w:space="0" w:color="auto"/>
              <w:right w:val="single" w:sz="4" w:space="0" w:color="auto"/>
            </w:tcBorders>
            <w:noWrap/>
            <w:vAlign w:val="center"/>
            <w:hideMark/>
          </w:tcPr>
          <w:p w14:paraId="5C8B4C16" w14:textId="77777777" w:rsidR="005E4CF6" w:rsidRPr="00214BBF" w:rsidRDefault="005E4CF6" w:rsidP="005F534C">
            <w:pPr>
              <w:jc w:val="center"/>
              <w:rPr>
                <w:i/>
                <w:iCs/>
                <w:color w:val="000000"/>
                <w:sz w:val="18"/>
                <w:szCs w:val="18"/>
              </w:rPr>
            </w:pPr>
            <w:r w:rsidRPr="00214BBF">
              <w:rPr>
                <w:i/>
                <w:iCs/>
                <w:color w:val="000000"/>
                <w:sz w:val="18"/>
                <w:szCs w:val="18"/>
              </w:rPr>
              <w:t>1 490</w:t>
            </w:r>
          </w:p>
        </w:tc>
        <w:tc>
          <w:tcPr>
            <w:tcW w:w="945" w:type="dxa"/>
            <w:tcBorders>
              <w:top w:val="nil"/>
              <w:left w:val="nil"/>
              <w:bottom w:val="single" w:sz="4" w:space="0" w:color="auto"/>
              <w:right w:val="single" w:sz="4" w:space="0" w:color="auto"/>
            </w:tcBorders>
            <w:noWrap/>
            <w:vAlign w:val="center"/>
            <w:hideMark/>
          </w:tcPr>
          <w:p w14:paraId="66F2C653" w14:textId="77777777" w:rsidR="005E4CF6" w:rsidRPr="00214BBF" w:rsidRDefault="005E4CF6" w:rsidP="005F534C">
            <w:pPr>
              <w:jc w:val="center"/>
              <w:rPr>
                <w:i/>
                <w:iCs/>
                <w:color w:val="000000"/>
                <w:sz w:val="18"/>
                <w:szCs w:val="18"/>
              </w:rPr>
            </w:pPr>
            <w:r w:rsidRPr="00214BBF">
              <w:rPr>
                <w:i/>
                <w:iCs/>
                <w:color w:val="000000"/>
                <w:sz w:val="18"/>
                <w:szCs w:val="18"/>
              </w:rPr>
              <w:t>318</w:t>
            </w:r>
          </w:p>
        </w:tc>
        <w:tc>
          <w:tcPr>
            <w:tcW w:w="997" w:type="dxa"/>
            <w:tcBorders>
              <w:top w:val="nil"/>
              <w:left w:val="nil"/>
              <w:bottom w:val="single" w:sz="4" w:space="0" w:color="auto"/>
              <w:right w:val="single" w:sz="8" w:space="0" w:color="auto"/>
            </w:tcBorders>
            <w:noWrap/>
            <w:vAlign w:val="center"/>
            <w:hideMark/>
          </w:tcPr>
          <w:p w14:paraId="0AAF524B" w14:textId="77777777" w:rsidR="005E4CF6" w:rsidRPr="00214BBF" w:rsidRDefault="005E4CF6" w:rsidP="005F534C">
            <w:pPr>
              <w:jc w:val="center"/>
              <w:rPr>
                <w:i/>
                <w:iCs/>
                <w:color w:val="000000"/>
                <w:sz w:val="18"/>
                <w:szCs w:val="18"/>
              </w:rPr>
            </w:pPr>
            <w:r w:rsidRPr="00214BBF">
              <w:rPr>
                <w:i/>
                <w:iCs/>
                <w:color w:val="000000"/>
                <w:sz w:val="18"/>
                <w:szCs w:val="18"/>
              </w:rPr>
              <w:t>5 400</w:t>
            </w:r>
          </w:p>
        </w:tc>
      </w:tr>
      <w:tr w:rsidR="005E4CF6" w:rsidRPr="00214BBF" w14:paraId="7C3602C1" w14:textId="77777777" w:rsidTr="005F534C">
        <w:trPr>
          <w:trHeight w:val="276"/>
        </w:trPr>
        <w:tc>
          <w:tcPr>
            <w:tcW w:w="1015" w:type="dxa"/>
            <w:tcBorders>
              <w:top w:val="nil"/>
              <w:left w:val="single" w:sz="8" w:space="0" w:color="auto"/>
              <w:bottom w:val="single" w:sz="4" w:space="0" w:color="auto"/>
              <w:right w:val="single" w:sz="4" w:space="0" w:color="auto"/>
            </w:tcBorders>
            <w:vAlign w:val="center"/>
            <w:hideMark/>
          </w:tcPr>
          <w:p w14:paraId="04CB38EE" w14:textId="77777777" w:rsidR="005E4CF6" w:rsidRPr="00214BBF" w:rsidRDefault="005E4CF6" w:rsidP="005F534C">
            <w:pPr>
              <w:rPr>
                <w:i/>
                <w:iCs/>
                <w:sz w:val="18"/>
                <w:szCs w:val="18"/>
              </w:rPr>
            </w:pPr>
            <w:r w:rsidRPr="00214BBF">
              <w:rPr>
                <w:i/>
                <w:iCs/>
                <w:sz w:val="18"/>
                <w:szCs w:val="18"/>
              </w:rPr>
              <w:t>∆FC</w:t>
            </w:r>
            <w:r w:rsidRPr="00214BBF">
              <w:rPr>
                <w:i/>
                <w:iCs/>
                <w:color w:val="000000"/>
                <w:sz w:val="18"/>
                <w:szCs w:val="18"/>
                <w:vertAlign w:val="superscript"/>
              </w:rPr>
              <w:t>INV</w:t>
            </w:r>
            <w:r w:rsidRPr="00214BBF">
              <w:rPr>
                <w:i/>
                <w:iCs/>
                <w:color w:val="000000"/>
                <w:sz w:val="18"/>
                <w:szCs w:val="18"/>
                <w:vertAlign w:val="subscript"/>
              </w:rPr>
              <w:t>DA,2</w:t>
            </w:r>
            <w:r w:rsidRPr="00214BBF">
              <w:rPr>
                <w:i/>
                <w:iCs/>
                <w:color w:val="000000"/>
                <w:sz w:val="18"/>
                <w:szCs w:val="18"/>
              </w:rPr>
              <w:t xml:space="preserve"> </w:t>
            </w:r>
          </w:p>
        </w:tc>
        <w:tc>
          <w:tcPr>
            <w:tcW w:w="3840" w:type="dxa"/>
            <w:tcBorders>
              <w:top w:val="nil"/>
              <w:left w:val="nil"/>
              <w:bottom w:val="single" w:sz="4" w:space="0" w:color="auto"/>
              <w:right w:val="single" w:sz="4" w:space="0" w:color="auto"/>
            </w:tcBorders>
            <w:noWrap/>
            <w:vAlign w:val="center"/>
            <w:hideMark/>
          </w:tcPr>
          <w:p w14:paraId="0353BABD" w14:textId="77777777" w:rsidR="005E4CF6" w:rsidRPr="00214BBF" w:rsidRDefault="005E4CF6" w:rsidP="005F534C">
            <w:pPr>
              <w:jc w:val="both"/>
              <w:rPr>
                <w:i/>
                <w:iCs/>
                <w:color w:val="000000"/>
                <w:sz w:val="18"/>
                <w:szCs w:val="18"/>
              </w:rPr>
            </w:pPr>
            <w:r w:rsidRPr="00214BBF">
              <w:rPr>
                <w:i/>
                <w:iCs/>
                <w:color w:val="000000"/>
                <w:sz w:val="18"/>
                <w:szCs w:val="18"/>
              </w:rPr>
              <w:t>Pastoviųjų sąnaudų pokytis dėl nusidėvėjimo (amortizacijos) sąnaudų pokyčio</w:t>
            </w:r>
          </w:p>
        </w:tc>
        <w:tc>
          <w:tcPr>
            <w:tcW w:w="785" w:type="dxa"/>
            <w:tcBorders>
              <w:top w:val="nil"/>
              <w:left w:val="nil"/>
              <w:bottom w:val="single" w:sz="4" w:space="0" w:color="auto"/>
              <w:right w:val="single" w:sz="4" w:space="0" w:color="auto"/>
            </w:tcBorders>
            <w:noWrap/>
            <w:vAlign w:val="center"/>
            <w:hideMark/>
          </w:tcPr>
          <w:p w14:paraId="3E2F9894" w14:textId="77777777" w:rsidR="005E4CF6" w:rsidRPr="00214BBF" w:rsidRDefault="005E4CF6" w:rsidP="005F534C">
            <w:pPr>
              <w:jc w:val="center"/>
              <w:rPr>
                <w:i/>
                <w:iCs/>
                <w:color w:val="000000"/>
                <w:sz w:val="18"/>
                <w:szCs w:val="18"/>
              </w:rPr>
            </w:pPr>
            <w:r w:rsidRPr="00214BBF">
              <w:rPr>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42FD2BA1" w14:textId="77777777" w:rsidR="005E4CF6" w:rsidRPr="00214BBF" w:rsidRDefault="005E4CF6" w:rsidP="005F534C">
            <w:pPr>
              <w:jc w:val="center"/>
              <w:rPr>
                <w:i/>
                <w:iCs/>
                <w:color w:val="000000"/>
                <w:sz w:val="18"/>
                <w:szCs w:val="18"/>
              </w:rPr>
            </w:pPr>
            <w:r w:rsidRPr="00214BBF">
              <w:rPr>
                <w:i/>
                <w:iCs/>
                <w:color w:val="000000"/>
                <w:sz w:val="18"/>
                <w:szCs w:val="18"/>
              </w:rPr>
              <w:t>6 318</w:t>
            </w:r>
          </w:p>
        </w:tc>
        <w:tc>
          <w:tcPr>
            <w:tcW w:w="1044" w:type="dxa"/>
            <w:tcBorders>
              <w:top w:val="nil"/>
              <w:left w:val="nil"/>
              <w:bottom w:val="single" w:sz="4" w:space="0" w:color="auto"/>
              <w:right w:val="single" w:sz="4" w:space="0" w:color="auto"/>
            </w:tcBorders>
            <w:noWrap/>
            <w:vAlign w:val="center"/>
            <w:hideMark/>
          </w:tcPr>
          <w:p w14:paraId="057F9C7A" w14:textId="77777777" w:rsidR="005E4CF6" w:rsidRPr="00214BBF" w:rsidRDefault="005E4CF6" w:rsidP="005F534C">
            <w:pPr>
              <w:jc w:val="center"/>
              <w:rPr>
                <w:i/>
                <w:iCs/>
                <w:color w:val="000000"/>
                <w:sz w:val="18"/>
                <w:szCs w:val="18"/>
              </w:rPr>
            </w:pPr>
            <w:r w:rsidRPr="00214BBF">
              <w:rPr>
                <w:i/>
                <w:iCs/>
                <w:color w:val="000000"/>
                <w:sz w:val="18"/>
                <w:szCs w:val="18"/>
              </w:rPr>
              <w:t>1 572</w:t>
            </w:r>
          </w:p>
        </w:tc>
        <w:tc>
          <w:tcPr>
            <w:tcW w:w="945" w:type="dxa"/>
            <w:tcBorders>
              <w:top w:val="nil"/>
              <w:left w:val="nil"/>
              <w:bottom w:val="single" w:sz="4" w:space="0" w:color="auto"/>
              <w:right w:val="single" w:sz="4" w:space="0" w:color="auto"/>
            </w:tcBorders>
            <w:noWrap/>
            <w:vAlign w:val="center"/>
            <w:hideMark/>
          </w:tcPr>
          <w:p w14:paraId="0BA2B7C2" w14:textId="77777777" w:rsidR="005E4CF6" w:rsidRPr="00214BBF" w:rsidRDefault="005E4CF6" w:rsidP="005F534C">
            <w:pPr>
              <w:jc w:val="center"/>
              <w:rPr>
                <w:i/>
                <w:iCs/>
                <w:color w:val="000000"/>
                <w:sz w:val="18"/>
                <w:szCs w:val="18"/>
              </w:rPr>
            </w:pPr>
            <w:r w:rsidRPr="00214BBF">
              <w:rPr>
                <w:i/>
                <w:iCs/>
                <w:color w:val="000000"/>
                <w:sz w:val="18"/>
                <w:szCs w:val="18"/>
              </w:rPr>
              <w:t>-497</w:t>
            </w:r>
          </w:p>
        </w:tc>
        <w:tc>
          <w:tcPr>
            <w:tcW w:w="997" w:type="dxa"/>
            <w:tcBorders>
              <w:top w:val="nil"/>
              <w:left w:val="nil"/>
              <w:bottom w:val="single" w:sz="4" w:space="0" w:color="auto"/>
              <w:right w:val="single" w:sz="8" w:space="0" w:color="auto"/>
            </w:tcBorders>
            <w:noWrap/>
            <w:vAlign w:val="center"/>
            <w:hideMark/>
          </w:tcPr>
          <w:p w14:paraId="7C70533B" w14:textId="77777777" w:rsidR="005E4CF6" w:rsidRPr="00214BBF" w:rsidRDefault="005E4CF6" w:rsidP="005F534C">
            <w:pPr>
              <w:jc w:val="center"/>
              <w:rPr>
                <w:i/>
                <w:iCs/>
                <w:color w:val="000000"/>
                <w:sz w:val="18"/>
                <w:szCs w:val="18"/>
              </w:rPr>
            </w:pPr>
            <w:r w:rsidRPr="00214BBF">
              <w:rPr>
                <w:i/>
                <w:iCs/>
                <w:color w:val="000000"/>
                <w:sz w:val="18"/>
                <w:szCs w:val="18"/>
              </w:rPr>
              <w:t>7 394</w:t>
            </w:r>
          </w:p>
        </w:tc>
      </w:tr>
      <w:tr w:rsidR="005E4CF6" w:rsidRPr="00214BBF" w14:paraId="2BADE9D2" w14:textId="77777777" w:rsidTr="005F534C">
        <w:trPr>
          <w:trHeight w:val="276"/>
        </w:trPr>
        <w:tc>
          <w:tcPr>
            <w:tcW w:w="1015" w:type="dxa"/>
            <w:tcBorders>
              <w:top w:val="nil"/>
              <w:left w:val="single" w:sz="8" w:space="0" w:color="auto"/>
              <w:bottom w:val="single" w:sz="4" w:space="0" w:color="auto"/>
              <w:right w:val="single" w:sz="4" w:space="0" w:color="auto"/>
            </w:tcBorders>
            <w:noWrap/>
            <w:vAlign w:val="bottom"/>
            <w:hideMark/>
          </w:tcPr>
          <w:p w14:paraId="3F149DED" w14:textId="77777777" w:rsidR="005E4CF6" w:rsidRPr="00214BBF" w:rsidRDefault="005E4CF6" w:rsidP="005F534C">
            <w:pPr>
              <w:jc w:val="center"/>
              <w:rPr>
                <w:i/>
                <w:iCs/>
                <w:color w:val="000000"/>
                <w:sz w:val="18"/>
                <w:szCs w:val="18"/>
              </w:rPr>
            </w:pPr>
            <w:r w:rsidRPr="00214BBF">
              <w:rPr>
                <w:i/>
                <w:iCs/>
                <w:color w:val="000000"/>
                <w:sz w:val="18"/>
                <w:szCs w:val="18"/>
              </w:rPr>
              <w:t>∆ROI</w:t>
            </w:r>
            <w:r w:rsidRPr="00214BBF">
              <w:rPr>
                <w:i/>
                <w:iCs/>
                <w:color w:val="000000"/>
                <w:sz w:val="18"/>
                <w:szCs w:val="18"/>
                <w:vertAlign w:val="superscript"/>
              </w:rPr>
              <w:t>r</w:t>
            </w:r>
            <w:r w:rsidRPr="00214BBF">
              <w:rPr>
                <w:i/>
                <w:iCs/>
                <w:color w:val="000000"/>
                <w:sz w:val="18"/>
                <w:szCs w:val="18"/>
                <w:vertAlign w:val="subscript"/>
              </w:rPr>
              <w:t xml:space="preserve">2  </w:t>
            </w:r>
            <w:r w:rsidRPr="00214BBF">
              <w:rPr>
                <w:i/>
                <w:iCs/>
                <w:color w:val="000000"/>
                <w:sz w:val="18"/>
                <w:szCs w:val="18"/>
              </w:rPr>
              <w:t>∆ROI</w:t>
            </w:r>
            <w:r w:rsidRPr="00214BBF">
              <w:rPr>
                <w:i/>
                <w:iCs/>
                <w:color w:val="000000"/>
                <w:sz w:val="18"/>
                <w:szCs w:val="18"/>
                <w:vertAlign w:val="superscript"/>
              </w:rPr>
              <w:t>r</w:t>
            </w:r>
            <w:r w:rsidRPr="00214BBF">
              <w:rPr>
                <w:i/>
                <w:iCs/>
                <w:color w:val="000000"/>
                <w:sz w:val="18"/>
                <w:szCs w:val="18"/>
                <w:vertAlign w:val="subscript"/>
              </w:rPr>
              <w:t>HS,2</w:t>
            </w:r>
          </w:p>
        </w:tc>
        <w:tc>
          <w:tcPr>
            <w:tcW w:w="3840" w:type="dxa"/>
            <w:tcBorders>
              <w:top w:val="nil"/>
              <w:left w:val="nil"/>
              <w:bottom w:val="single" w:sz="4" w:space="0" w:color="auto"/>
              <w:right w:val="single" w:sz="4" w:space="0" w:color="auto"/>
            </w:tcBorders>
            <w:noWrap/>
            <w:vAlign w:val="center"/>
            <w:hideMark/>
          </w:tcPr>
          <w:p w14:paraId="14FB51A9" w14:textId="77777777" w:rsidR="005E4CF6" w:rsidRPr="00214BBF" w:rsidRDefault="005E4CF6" w:rsidP="005F534C">
            <w:pPr>
              <w:jc w:val="both"/>
              <w:rPr>
                <w:i/>
                <w:iCs/>
                <w:color w:val="000000"/>
                <w:sz w:val="18"/>
                <w:szCs w:val="18"/>
              </w:rPr>
            </w:pPr>
            <w:r w:rsidRPr="00214BBF">
              <w:rPr>
                <w:i/>
                <w:iCs/>
                <w:color w:val="000000"/>
                <w:sz w:val="18"/>
                <w:szCs w:val="18"/>
              </w:rPr>
              <w:t>Investicijų grąžos pokytis dėl investicijų grąžos normos pokyčio</w:t>
            </w:r>
          </w:p>
        </w:tc>
        <w:tc>
          <w:tcPr>
            <w:tcW w:w="785" w:type="dxa"/>
            <w:tcBorders>
              <w:top w:val="nil"/>
              <w:left w:val="nil"/>
              <w:bottom w:val="single" w:sz="4" w:space="0" w:color="auto"/>
              <w:right w:val="single" w:sz="4" w:space="0" w:color="auto"/>
            </w:tcBorders>
            <w:noWrap/>
            <w:vAlign w:val="center"/>
            <w:hideMark/>
          </w:tcPr>
          <w:p w14:paraId="08787B97" w14:textId="77777777" w:rsidR="005E4CF6" w:rsidRPr="00214BBF" w:rsidRDefault="005E4CF6" w:rsidP="005F534C">
            <w:pPr>
              <w:jc w:val="center"/>
              <w:rPr>
                <w:i/>
                <w:iCs/>
                <w:color w:val="000000"/>
                <w:sz w:val="18"/>
                <w:szCs w:val="18"/>
              </w:rPr>
            </w:pPr>
            <w:r w:rsidRPr="00214BBF">
              <w:rPr>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112A165E" w14:textId="77777777" w:rsidR="005E4CF6" w:rsidRPr="00214BBF" w:rsidRDefault="005E4CF6" w:rsidP="005F534C">
            <w:pPr>
              <w:jc w:val="center"/>
              <w:rPr>
                <w:i/>
                <w:iCs/>
                <w:color w:val="000000"/>
                <w:sz w:val="18"/>
                <w:szCs w:val="18"/>
              </w:rPr>
            </w:pPr>
            <w:r w:rsidRPr="00214BBF">
              <w:rPr>
                <w:i/>
                <w:iCs/>
                <w:color w:val="000000"/>
                <w:sz w:val="18"/>
                <w:szCs w:val="18"/>
              </w:rPr>
              <w:t>-7366</w:t>
            </w:r>
          </w:p>
        </w:tc>
        <w:tc>
          <w:tcPr>
            <w:tcW w:w="1044" w:type="dxa"/>
            <w:tcBorders>
              <w:top w:val="nil"/>
              <w:left w:val="nil"/>
              <w:bottom w:val="single" w:sz="4" w:space="0" w:color="auto"/>
              <w:right w:val="single" w:sz="4" w:space="0" w:color="auto"/>
            </w:tcBorders>
            <w:noWrap/>
            <w:vAlign w:val="center"/>
            <w:hideMark/>
          </w:tcPr>
          <w:p w14:paraId="16A8C4B4" w14:textId="77777777" w:rsidR="005E4CF6" w:rsidRPr="00214BBF" w:rsidRDefault="005E4CF6" w:rsidP="005F534C">
            <w:pPr>
              <w:jc w:val="center"/>
              <w:rPr>
                <w:i/>
                <w:iCs/>
                <w:color w:val="000000"/>
                <w:sz w:val="18"/>
                <w:szCs w:val="18"/>
              </w:rPr>
            </w:pPr>
            <w:r w:rsidRPr="00214BBF">
              <w:rPr>
                <w:i/>
                <w:iCs/>
                <w:color w:val="000000"/>
                <w:sz w:val="18"/>
                <w:szCs w:val="18"/>
              </w:rPr>
              <w:t>3962</w:t>
            </w:r>
          </w:p>
        </w:tc>
        <w:tc>
          <w:tcPr>
            <w:tcW w:w="945" w:type="dxa"/>
            <w:tcBorders>
              <w:top w:val="nil"/>
              <w:left w:val="nil"/>
              <w:bottom w:val="single" w:sz="4" w:space="0" w:color="auto"/>
              <w:right w:val="single" w:sz="4" w:space="0" w:color="auto"/>
            </w:tcBorders>
            <w:noWrap/>
            <w:vAlign w:val="center"/>
            <w:hideMark/>
          </w:tcPr>
          <w:p w14:paraId="638EFBD7" w14:textId="77777777" w:rsidR="005E4CF6" w:rsidRPr="00214BBF" w:rsidRDefault="005E4CF6" w:rsidP="005F534C">
            <w:pPr>
              <w:jc w:val="center"/>
              <w:rPr>
                <w:i/>
                <w:iCs/>
                <w:color w:val="000000"/>
                <w:sz w:val="18"/>
                <w:szCs w:val="18"/>
              </w:rPr>
            </w:pPr>
            <w:r w:rsidRPr="00214BBF">
              <w:rPr>
                <w:i/>
                <w:iCs/>
                <w:color w:val="000000"/>
                <w:sz w:val="18"/>
                <w:szCs w:val="18"/>
              </w:rPr>
              <w:t>308</w:t>
            </w:r>
          </w:p>
        </w:tc>
        <w:tc>
          <w:tcPr>
            <w:tcW w:w="997" w:type="dxa"/>
            <w:tcBorders>
              <w:top w:val="nil"/>
              <w:left w:val="nil"/>
              <w:bottom w:val="single" w:sz="4" w:space="0" w:color="auto"/>
              <w:right w:val="single" w:sz="8" w:space="0" w:color="auto"/>
            </w:tcBorders>
            <w:noWrap/>
            <w:vAlign w:val="center"/>
            <w:hideMark/>
          </w:tcPr>
          <w:p w14:paraId="7F6047C2" w14:textId="77777777" w:rsidR="005E4CF6" w:rsidRPr="00214BBF" w:rsidRDefault="005E4CF6" w:rsidP="005F534C">
            <w:pPr>
              <w:jc w:val="center"/>
              <w:rPr>
                <w:i/>
                <w:iCs/>
                <w:color w:val="000000"/>
                <w:sz w:val="18"/>
                <w:szCs w:val="18"/>
              </w:rPr>
            </w:pPr>
            <w:r w:rsidRPr="00214BBF">
              <w:rPr>
                <w:i/>
                <w:iCs/>
                <w:color w:val="000000"/>
                <w:sz w:val="18"/>
                <w:szCs w:val="18"/>
              </w:rPr>
              <w:t>-3 096</w:t>
            </w:r>
          </w:p>
        </w:tc>
      </w:tr>
      <w:tr w:rsidR="005E4CF6" w:rsidRPr="00214BBF" w14:paraId="72C51706" w14:textId="77777777" w:rsidTr="005F534C">
        <w:trPr>
          <w:trHeight w:val="276"/>
        </w:trPr>
        <w:tc>
          <w:tcPr>
            <w:tcW w:w="1015" w:type="dxa"/>
            <w:tcBorders>
              <w:top w:val="nil"/>
              <w:left w:val="single" w:sz="8" w:space="0" w:color="auto"/>
              <w:bottom w:val="single" w:sz="4" w:space="0" w:color="auto"/>
              <w:right w:val="single" w:sz="4" w:space="0" w:color="auto"/>
            </w:tcBorders>
            <w:vAlign w:val="center"/>
            <w:hideMark/>
          </w:tcPr>
          <w:p w14:paraId="49EFD902" w14:textId="77777777" w:rsidR="005E4CF6" w:rsidRPr="00214BBF" w:rsidRDefault="005E4CF6" w:rsidP="005F534C">
            <w:pPr>
              <w:rPr>
                <w:i/>
                <w:iCs/>
                <w:sz w:val="18"/>
                <w:szCs w:val="18"/>
              </w:rPr>
            </w:pPr>
            <w:r w:rsidRPr="00214BBF">
              <w:rPr>
                <w:i/>
                <w:iCs/>
                <w:sz w:val="18"/>
                <w:szCs w:val="18"/>
              </w:rPr>
              <w:t>∆ROI</w:t>
            </w:r>
            <w:r w:rsidRPr="00214BBF">
              <w:rPr>
                <w:i/>
                <w:iCs/>
                <w:color w:val="000000"/>
                <w:sz w:val="18"/>
                <w:szCs w:val="18"/>
                <w:vertAlign w:val="superscript"/>
              </w:rPr>
              <w:t>INV</w:t>
            </w:r>
            <w:r w:rsidRPr="00214BBF">
              <w:rPr>
                <w:i/>
                <w:iCs/>
                <w:color w:val="000000"/>
                <w:sz w:val="18"/>
                <w:szCs w:val="18"/>
                <w:vertAlign w:val="subscript"/>
              </w:rPr>
              <w:t>2</w:t>
            </w:r>
            <w:r w:rsidRPr="00214BBF">
              <w:rPr>
                <w:i/>
                <w:iCs/>
                <w:color w:val="000000"/>
                <w:sz w:val="18"/>
                <w:szCs w:val="18"/>
                <w:vertAlign w:val="subscript"/>
              </w:rPr>
              <w:br/>
            </w:r>
            <w:r w:rsidRPr="00214BBF">
              <w:rPr>
                <w:i/>
                <w:iCs/>
                <w:color w:val="000000"/>
                <w:sz w:val="18"/>
                <w:szCs w:val="18"/>
              </w:rPr>
              <w:t>∆ROI</w:t>
            </w:r>
            <w:r w:rsidRPr="00214BBF">
              <w:rPr>
                <w:i/>
                <w:iCs/>
                <w:color w:val="000000"/>
                <w:sz w:val="18"/>
                <w:szCs w:val="18"/>
                <w:vertAlign w:val="superscript"/>
              </w:rPr>
              <w:t>FC</w:t>
            </w:r>
            <w:r w:rsidRPr="00214BBF">
              <w:rPr>
                <w:i/>
                <w:iCs/>
                <w:color w:val="000000"/>
                <w:sz w:val="18"/>
                <w:szCs w:val="18"/>
                <w:vertAlign w:val="subscript"/>
              </w:rPr>
              <w:t>HS,2</w:t>
            </w:r>
          </w:p>
        </w:tc>
        <w:tc>
          <w:tcPr>
            <w:tcW w:w="3840" w:type="dxa"/>
            <w:tcBorders>
              <w:top w:val="nil"/>
              <w:left w:val="nil"/>
              <w:bottom w:val="single" w:sz="4" w:space="0" w:color="auto"/>
              <w:right w:val="single" w:sz="4" w:space="0" w:color="auto"/>
            </w:tcBorders>
            <w:vAlign w:val="center"/>
            <w:hideMark/>
          </w:tcPr>
          <w:p w14:paraId="1164F2A7" w14:textId="77777777" w:rsidR="005E4CF6" w:rsidRPr="00214BBF" w:rsidRDefault="005E4CF6" w:rsidP="005F534C">
            <w:pPr>
              <w:rPr>
                <w:i/>
                <w:iCs/>
                <w:sz w:val="18"/>
                <w:szCs w:val="18"/>
              </w:rPr>
            </w:pPr>
            <w:r w:rsidRPr="00214BBF">
              <w:rPr>
                <w:i/>
                <w:iCs/>
                <w:sz w:val="18"/>
                <w:szCs w:val="18"/>
              </w:rPr>
              <w:t>Investicijų grąžos pokytis dėl įvykdytų investicinių projektų ir mažmeninio aptarnavimo verslo vienetui priskirtų pastoviųjų sąnaudų pokyčio</w:t>
            </w:r>
          </w:p>
        </w:tc>
        <w:tc>
          <w:tcPr>
            <w:tcW w:w="785" w:type="dxa"/>
            <w:tcBorders>
              <w:top w:val="nil"/>
              <w:left w:val="nil"/>
              <w:bottom w:val="single" w:sz="4" w:space="0" w:color="auto"/>
              <w:right w:val="single" w:sz="4" w:space="0" w:color="auto"/>
            </w:tcBorders>
            <w:noWrap/>
            <w:vAlign w:val="center"/>
            <w:hideMark/>
          </w:tcPr>
          <w:p w14:paraId="68BDAABC" w14:textId="77777777" w:rsidR="005E4CF6" w:rsidRPr="00214BBF" w:rsidRDefault="005E4CF6" w:rsidP="005F534C">
            <w:pPr>
              <w:jc w:val="center"/>
              <w:rPr>
                <w:i/>
                <w:iCs/>
                <w:color w:val="000000"/>
                <w:sz w:val="18"/>
                <w:szCs w:val="18"/>
              </w:rPr>
            </w:pPr>
            <w:r w:rsidRPr="00214BBF">
              <w:rPr>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4F4BE5BB" w14:textId="77777777" w:rsidR="005E4CF6" w:rsidRPr="00214BBF" w:rsidRDefault="005E4CF6" w:rsidP="005F534C">
            <w:pPr>
              <w:jc w:val="center"/>
              <w:rPr>
                <w:i/>
                <w:iCs/>
                <w:color w:val="000000"/>
                <w:sz w:val="18"/>
                <w:szCs w:val="18"/>
              </w:rPr>
            </w:pPr>
            <w:r w:rsidRPr="00214BBF">
              <w:rPr>
                <w:i/>
                <w:iCs/>
                <w:color w:val="000000"/>
                <w:sz w:val="18"/>
                <w:szCs w:val="18"/>
              </w:rPr>
              <w:t>3 024</w:t>
            </w:r>
          </w:p>
        </w:tc>
        <w:tc>
          <w:tcPr>
            <w:tcW w:w="1044" w:type="dxa"/>
            <w:tcBorders>
              <w:top w:val="nil"/>
              <w:left w:val="nil"/>
              <w:bottom w:val="single" w:sz="4" w:space="0" w:color="auto"/>
              <w:right w:val="single" w:sz="4" w:space="0" w:color="auto"/>
            </w:tcBorders>
            <w:noWrap/>
            <w:vAlign w:val="center"/>
            <w:hideMark/>
          </w:tcPr>
          <w:p w14:paraId="2DB9254E" w14:textId="77777777" w:rsidR="005E4CF6" w:rsidRPr="00214BBF" w:rsidRDefault="005E4CF6" w:rsidP="005F534C">
            <w:pPr>
              <w:jc w:val="center"/>
              <w:rPr>
                <w:i/>
                <w:iCs/>
                <w:color w:val="000000"/>
                <w:sz w:val="18"/>
                <w:szCs w:val="18"/>
              </w:rPr>
            </w:pPr>
            <w:r w:rsidRPr="00214BBF">
              <w:rPr>
                <w:i/>
                <w:iCs/>
                <w:color w:val="000000"/>
                <w:sz w:val="18"/>
                <w:szCs w:val="18"/>
              </w:rPr>
              <w:t>408</w:t>
            </w:r>
          </w:p>
        </w:tc>
        <w:tc>
          <w:tcPr>
            <w:tcW w:w="945" w:type="dxa"/>
            <w:tcBorders>
              <w:top w:val="nil"/>
              <w:left w:val="nil"/>
              <w:bottom w:val="single" w:sz="4" w:space="0" w:color="auto"/>
              <w:right w:val="single" w:sz="4" w:space="0" w:color="auto"/>
            </w:tcBorders>
            <w:noWrap/>
            <w:vAlign w:val="center"/>
            <w:hideMark/>
          </w:tcPr>
          <w:p w14:paraId="32D8EA2B" w14:textId="77777777" w:rsidR="005E4CF6" w:rsidRPr="00214BBF" w:rsidRDefault="005E4CF6" w:rsidP="005F534C">
            <w:pPr>
              <w:jc w:val="center"/>
              <w:rPr>
                <w:i/>
                <w:iCs/>
                <w:color w:val="000000"/>
                <w:sz w:val="18"/>
                <w:szCs w:val="18"/>
              </w:rPr>
            </w:pPr>
            <w:r w:rsidRPr="00214BBF">
              <w:rPr>
                <w:i/>
                <w:iCs/>
                <w:color w:val="000000"/>
                <w:sz w:val="18"/>
                <w:szCs w:val="18"/>
              </w:rPr>
              <w:t>268</w:t>
            </w:r>
          </w:p>
        </w:tc>
        <w:tc>
          <w:tcPr>
            <w:tcW w:w="997" w:type="dxa"/>
            <w:tcBorders>
              <w:top w:val="nil"/>
              <w:left w:val="nil"/>
              <w:bottom w:val="single" w:sz="4" w:space="0" w:color="auto"/>
              <w:right w:val="single" w:sz="8" w:space="0" w:color="auto"/>
            </w:tcBorders>
            <w:noWrap/>
            <w:vAlign w:val="center"/>
            <w:hideMark/>
          </w:tcPr>
          <w:p w14:paraId="469C3C60" w14:textId="77777777" w:rsidR="005E4CF6" w:rsidRPr="00214BBF" w:rsidRDefault="005E4CF6" w:rsidP="005F534C">
            <w:pPr>
              <w:jc w:val="center"/>
              <w:rPr>
                <w:i/>
                <w:iCs/>
                <w:color w:val="000000"/>
                <w:sz w:val="18"/>
                <w:szCs w:val="18"/>
              </w:rPr>
            </w:pPr>
            <w:r w:rsidRPr="00214BBF">
              <w:rPr>
                <w:i/>
                <w:iCs/>
                <w:color w:val="000000"/>
                <w:sz w:val="18"/>
                <w:szCs w:val="18"/>
              </w:rPr>
              <w:t>3 699</w:t>
            </w:r>
          </w:p>
        </w:tc>
      </w:tr>
      <w:tr w:rsidR="005E4CF6" w:rsidRPr="00214BBF" w14:paraId="3452DB0E" w14:textId="77777777" w:rsidTr="005F534C">
        <w:trPr>
          <w:trHeight w:val="276"/>
        </w:trPr>
        <w:tc>
          <w:tcPr>
            <w:tcW w:w="1015" w:type="dxa"/>
            <w:tcBorders>
              <w:top w:val="nil"/>
              <w:left w:val="single" w:sz="8" w:space="0" w:color="auto"/>
              <w:bottom w:val="single" w:sz="4" w:space="0" w:color="auto"/>
              <w:right w:val="single" w:sz="4" w:space="0" w:color="auto"/>
            </w:tcBorders>
            <w:noWrap/>
            <w:vAlign w:val="center"/>
            <w:hideMark/>
          </w:tcPr>
          <w:p w14:paraId="0E112D74" w14:textId="77777777" w:rsidR="005E4CF6" w:rsidRPr="00214BBF" w:rsidRDefault="005E4CF6" w:rsidP="005F534C">
            <w:pPr>
              <w:jc w:val="center"/>
              <w:rPr>
                <w:i/>
                <w:iCs/>
                <w:color w:val="000000"/>
                <w:sz w:val="18"/>
                <w:szCs w:val="18"/>
              </w:rPr>
            </w:pPr>
            <w:r w:rsidRPr="00214BBF">
              <w:rPr>
                <w:i/>
                <w:iCs/>
                <w:color w:val="000000"/>
                <w:sz w:val="18"/>
                <w:szCs w:val="18"/>
              </w:rPr>
              <w:t> </w:t>
            </w:r>
          </w:p>
        </w:tc>
        <w:tc>
          <w:tcPr>
            <w:tcW w:w="3840" w:type="dxa"/>
            <w:tcBorders>
              <w:top w:val="nil"/>
              <w:left w:val="nil"/>
              <w:bottom w:val="single" w:sz="4" w:space="0" w:color="auto"/>
              <w:right w:val="single" w:sz="4" w:space="0" w:color="auto"/>
            </w:tcBorders>
            <w:vAlign w:val="center"/>
            <w:hideMark/>
          </w:tcPr>
          <w:p w14:paraId="440980C0" w14:textId="77777777" w:rsidR="005E4CF6" w:rsidRPr="00214BBF" w:rsidRDefault="005E4CF6" w:rsidP="005F534C">
            <w:pPr>
              <w:rPr>
                <w:i/>
                <w:iCs/>
                <w:sz w:val="18"/>
                <w:szCs w:val="18"/>
              </w:rPr>
            </w:pPr>
            <w:r w:rsidRPr="00214BBF">
              <w:rPr>
                <w:i/>
                <w:iCs/>
                <w:sz w:val="18"/>
                <w:szCs w:val="18"/>
              </w:rPr>
              <w:t>Papildoma 1 proc. investicijų grąža (Metodikos 71.5 p.)</w:t>
            </w:r>
          </w:p>
        </w:tc>
        <w:tc>
          <w:tcPr>
            <w:tcW w:w="785" w:type="dxa"/>
            <w:tcBorders>
              <w:top w:val="nil"/>
              <w:left w:val="nil"/>
              <w:bottom w:val="single" w:sz="4" w:space="0" w:color="auto"/>
              <w:right w:val="single" w:sz="4" w:space="0" w:color="auto"/>
            </w:tcBorders>
            <w:noWrap/>
            <w:vAlign w:val="center"/>
            <w:hideMark/>
          </w:tcPr>
          <w:p w14:paraId="3B9D15C6" w14:textId="77777777" w:rsidR="005E4CF6" w:rsidRPr="00214BBF" w:rsidRDefault="005E4CF6" w:rsidP="005F534C">
            <w:pPr>
              <w:jc w:val="center"/>
              <w:rPr>
                <w:i/>
                <w:iCs/>
                <w:color w:val="000000"/>
                <w:sz w:val="18"/>
                <w:szCs w:val="18"/>
              </w:rPr>
            </w:pPr>
            <w:r w:rsidRPr="00214BBF">
              <w:rPr>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14592679" w14:textId="77777777" w:rsidR="005E4CF6" w:rsidRPr="00214BBF" w:rsidRDefault="005E4CF6" w:rsidP="005F534C">
            <w:pPr>
              <w:jc w:val="center"/>
              <w:rPr>
                <w:i/>
                <w:iCs/>
                <w:color w:val="000000"/>
                <w:sz w:val="18"/>
                <w:szCs w:val="18"/>
              </w:rPr>
            </w:pPr>
            <w:r w:rsidRPr="00214BBF">
              <w:rPr>
                <w:i/>
                <w:iCs/>
                <w:color w:val="000000"/>
                <w:sz w:val="18"/>
                <w:szCs w:val="18"/>
              </w:rPr>
              <w:t>322</w:t>
            </w:r>
          </w:p>
        </w:tc>
        <w:tc>
          <w:tcPr>
            <w:tcW w:w="1044" w:type="dxa"/>
            <w:tcBorders>
              <w:top w:val="nil"/>
              <w:left w:val="nil"/>
              <w:bottom w:val="single" w:sz="4" w:space="0" w:color="auto"/>
              <w:right w:val="single" w:sz="4" w:space="0" w:color="auto"/>
            </w:tcBorders>
            <w:noWrap/>
            <w:vAlign w:val="center"/>
            <w:hideMark/>
          </w:tcPr>
          <w:p w14:paraId="3B25A5C2" w14:textId="77777777" w:rsidR="005E4CF6" w:rsidRPr="00214BBF" w:rsidRDefault="005E4CF6" w:rsidP="005F534C">
            <w:pPr>
              <w:jc w:val="center"/>
              <w:rPr>
                <w:i/>
                <w:iCs/>
                <w:color w:val="000000"/>
                <w:sz w:val="18"/>
                <w:szCs w:val="18"/>
              </w:rPr>
            </w:pPr>
            <w:r w:rsidRPr="00214BBF">
              <w:rPr>
                <w:i/>
                <w:iCs/>
                <w:color w:val="000000"/>
                <w:sz w:val="18"/>
                <w:szCs w:val="18"/>
              </w:rPr>
              <w:t>0</w:t>
            </w:r>
          </w:p>
        </w:tc>
        <w:tc>
          <w:tcPr>
            <w:tcW w:w="945" w:type="dxa"/>
            <w:tcBorders>
              <w:top w:val="nil"/>
              <w:left w:val="nil"/>
              <w:bottom w:val="single" w:sz="4" w:space="0" w:color="auto"/>
              <w:right w:val="single" w:sz="4" w:space="0" w:color="auto"/>
            </w:tcBorders>
            <w:noWrap/>
            <w:vAlign w:val="center"/>
            <w:hideMark/>
          </w:tcPr>
          <w:p w14:paraId="2E54C6FD" w14:textId="77777777" w:rsidR="005E4CF6" w:rsidRPr="00214BBF" w:rsidRDefault="005E4CF6" w:rsidP="005F534C">
            <w:pPr>
              <w:jc w:val="center"/>
              <w:rPr>
                <w:i/>
                <w:iCs/>
                <w:color w:val="000000"/>
                <w:sz w:val="18"/>
                <w:szCs w:val="18"/>
              </w:rPr>
            </w:pPr>
            <w:r w:rsidRPr="00214BBF">
              <w:rPr>
                <w:i/>
                <w:iCs/>
                <w:color w:val="000000"/>
                <w:sz w:val="18"/>
                <w:szCs w:val="18"/>
              </w:rPr>
              <w:t>0</w:t>
            </w:r>
          </w:p>
        </w:tc>
        <w:tc>
          <w:tcPr>
            <w:tcW w:w="997" w:type="dxa"/>
            <w:tcBorders>
              <w:top w:val="nil"/>
              <w:left w:val="nil"/>
              <w:bottom w:val="single" w:sz="4" w:space="0" w:color="auto"/>
              <w:right w:val="single" w:sz="8" w:space="0" w:color="auto"/>
            </w:tcBorders>
            <w:noWrap/>
            <w:vAlign w:val="center"/>
            <w:hideMark/>
          </w:tcPr>
          <w:p w14:paraId="0562A4A4" w14:textId="77777777" w:rsidR="005E4CF6" w:rsidRPr="00214BBF" w:rsidRDefault="005E4CF6" w:rsidP="005F534C">
            <w:pPr>
              <w:jc w:val="center"/>
              <w:rPr>
                <w:i/>
                <w:iCs/>
                <w:color w:val="000000"/>
                <w:sz w:val="18"/>
                <w:szCs w:val="18"/>
              </w:rPr>
            </w:pPr>
            <w:r w:rsidRPr="00214BBF">
              <w:rPr>
                <w:i/>
                <w:iCs/>
                <w:color w:val="000000"/>
                <w:sz w:val="18"/>
                <w:szCs w:val="18"/>
              </w:rPr>
              <w:t>322</w:t>
            </w:r>
          </w:p>
        </w:tc>
      </w:tr>
      <w:tr w:rsidR="005E4CF6" w:rsidRPr="00214BBF" w14:paraId="18D8583B" w14:textId="77777777" w:rsidTr="005F534C">
        <w:trPr>
          <w:trHeight w:val="276"/>
        </w:trPr>
        <w:tc>
          <w:tcPr>
            <w:tcW w:w="1015" w:type="dxa"/>
            <w:tcBorders>
              <w:top w:val="nil"/>
              <w:left w:val="single" w:sz="8" w:space="0" w:color="auto"/>
              <w:bottom w:val="single" w:sz="4" w:space="0" w:color="auto"/>
              <w:right w:val="single" w:sz="4" w:space="0" w:color="auto"/>
            </w:tcBorders>
            <w:noWrap/>
            <w:vAlign w:val="center"/>
            <w:hideMark/>
          </w:tcPr>
          <w:p w14:paraId="69AA79C1" w14:textId="77777777" w:rsidR="005E4CF6" w:rsidRPr="00214BBF" w:rsidRDefault="005E4CF6" w:rsidP="005F534C">
            <w:pPr>
              <w:jc w:val="center"/>
              <w:rPr>
                <w:i/>
                <w:iCs/>
                <w:color w:val="000000"/>
                <w:sz w:val="18"/>
                <w:szCs w:val="18"/>
              </w:rPr>
            </w:pPr>
            <w:r w:rsidRPr="00214BBF">
              <w:rPr>
                <w:i/>
                <w:iCs/>
                <w:color w:val="000000"/>
                <w:sz w:val="18"/>
                <w:szCs w:val="18"/>
              </w:rPr>
              <w:t>ΔFC</w:t>
            </w:r>
            <w:r w:rsidRPr="00214BBF">
              <w:rPr>
                <w:i/>
                <w:iCs/>
                <w:color w:val="000000"/>
                <w:sz w:val="18"/>
                <w:szCs w:val="18"/>
                <w:vertAlign w:val="superscript"/>
              </w:rPr>
              <w:t>DU</w:t>
            </w:r>
            <w:r w:rsidRPr="00214BBF">
              <w:rPr>
                <w:i/>
                <w:iCs/>
                <w:color w:val="000000"/>
                <w:sz w:val="18"/>
                <w:szCs w:val="18"/>
                <w:vertAlign w:val="subscript"/>
              </w:rPr>
              <w:t>2</w:t>
            </w:r>
          </w:p>
        </w:tc>
        <w:tc>
          <w:tcPr>
            <w:tcW w:w="3840" w:type="dxa"/>
            <w:tcBorders>
              <w:top w:val="nil"/>
              <w:left w:val="nil"/>
              <w:bottom w:val="single" w:sz="4" w:space="0" w:color="auto"/>
              <w:right w:val="single" w:sz="4" w:space="0" w:color="auto"/>
            </w:tcBorders>
            <w:noWrap/>
            <w:vAlign w:val="center"/>
            <w:hideMark/>
          </w:tcPr>
          <w:p w14:paraId="4C0DE0DE" w14:textId="77777777" w:rsidR="005E4CF6" w:rsidRPr="00214BBF" w:rsidRDefault="005E4CF6" w:rsidP="005F534C">
            <w:pPr>
              <w:rPr>
                <w:i/>
                <w:iCs/>
                <w:color w:val="000000"/>
                <w:sz w:val="18"/>
                <w:szCs w:val="18"/>
              </w:rPr>
            </w:pPr>
            <w:r w:rsidRPr="00214BBF">
              <w:rPr>
                <w:i/>
                <w:iCs/>
                <w:color w:val="000000"/>
                <w:sz w:val="18"/>
                <w:szCs w:val="18"/>
              </w:rPr>
              <w:t>Darbo užmokesčio sąnaudų pokytis</w:t>
            </w:r>
          </w:p>
        </w:tc>
        <w:tc>
          <w:tcPr>
            <w:tcW w:w="785" w:type="dxa"/>
            <w:tcBorders>
              <w:top w:val="nil"/>
              <w:left w:val="nil"/>
              <w:bottom w:val="single" w:sz="4" w:space="0" w:color="auto"/>
              <w:right w:val="single" w:sz="4" w:space="0" w:color="auto"/>
            </w:tcBorders>
            <w:noWrap/>
            <w:vAlign w:val="center"/>
            <w:hideMark/>
          </w:tcPr>
          <w:p w14:paraId="4B7872E0" w14:textId="77777777" w:rsidR="005E4CF6" w:rsidRPr="00214BBF" w:rsidRDefault="005E4CF6" w:rsidP="005F534C">
            <w:pPr>
              <w:jc w:val="center"/>
              <w:rPr>
                <w:i/>
                <w:iCs/>
                <w:color w:val="000000"/>
                <w:sz w:val="18"/>
                <w:szCs w:val="18"/>
              </w:rPr>
            </w:pPr>
            <w:r w:rsidRPr="00214BBF">
              <w:rPr>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66DBC720" w14:textId="77777777" w:rsidR="005E4CF6" w:rsidRPr="00214BBF" w:rsidRDefault="005E4CF6" w:rsidP="005F534C">
            <w:pPr>
              <w:jc w:val="center"/>
              <w:rPr>
                <w:i/>
                <w:iCs/>
                <w:color w:val="000000"/>
                <w:sz w:val="18"/>
                <w:szCs w:val="18"/>
              </w:rPr>
            </w:pPr>
            <w:r w:rsidRPr="00214BBF">
              <w:rPr>
                <w:i/>
                <w:iCs/>
                <w:color w:val="000000"/>
                <w:sz w:val="18"/>
                <w:szCs w:val="18"/>
              </w:rPr>
              <w:t>65 115</w:t>
            </w:r>
          </w:p>
        </w:tc>
        <w:tc>
          <w:tcPr>
            <w:tcW w:w="1044" w:type="dxa"/>
            <w:tcBorders>
              <w:top w:val="nil"/>
              <w:left w:val="nil"/>
              <w:bottom w:val="single" w:sz="4" w:space="0" w:color="auto"/>
              <w:right w:val="single" w:sz="4" w:space="0" w:color="auto"/>
            </w:tcBorders>
            <w:noWrap/>
            <w:vAlign w:val="center"/>
            <w:hideMark/>
          </w:tcPr>
          <w:p w14:paraId="187308F8" w14:textId="77777777" w:rsidR="005E4CF6" w:rsidRPr="00214BBF" w:rsidRDefault="005E4CF6" w:rsidP="005F534C">
            <w:pPr>
              <w:jc w:val="center"/>
              <w:rPr>
                <w:i/>
                <w:iCs/>
                <w:color w:val="000000"/>
                <w:sz w:val="18"/>
                <w:szCs w:val="18"/>
              </w:rPr>
            </w:pPr>
            <w:r w:rsidRPr="00214BBF">
              <w:rPr>
                <w:i/>
                <w:iCs/>
                <w:color w:val="000000"/>
                <w:sz w:val="18"/>
                <w:szCs w:val="18"/>
              </w:rPr>
              <w:t>14 808</w:t>
            </w:r>
          </w:p>
        </w:tc>
        <w:tc>
          <w:tcPr>
            <w:tcW w:w="945" w:type="dxa"/>
            <w:tcBorders>
              <w:top w:val="nil"/>
              <w:left w:val="nil"/>
              <w:bottom w:val="single" w:sz="4" w:space="0" w:color="auto"/>
              <w:right w:val="single" w:sz="4" w:space="0" w:color="auto"/>
            </w:tcBorders>
            <w:noWrap/>
            <w:vAlign w:val="center"/>
            <w:hideMark/>
          </w:tcPr>
          <w:p w14:paraId="102BCC9E" w14:textId="77777777" w:rsidR="005E4CF6" w:rsidRPr="00214BBF" w:rsidRDefault="005E4CF6" w:rsidP="005F534C">
            <w:pPr>
              <w:jc w:val="center"/>
              <w:rPr>
                <w:i/>
                <w:iCs/>
                <w:color w:val="000000"/>
                <w:sz w:val="18"/>
                <w:szCs w:val="18"/>
              </w:rPr>
            </w:pPr>
            <w:r w:rsidRPr="00214BBF">
              <w:rPr>
                <w:i/>
                <w:iCs/>
                <w:color w:val="000000"/>
                <w:sz w:val="18"/>
                <w:szCs w:val="18"/>
              </w:rPr>
              <w:t>3 839</w:t>
            </w:r>
          </w:p>
        </w:tc>
        <w:tc>
          <w:tcPr>
            <w:tcW w:w="997" w:type="dxa"/>
            <w:tcBorders>
              <w:top w:val="nil"/>
              <w:left w:val="nil"/>
              <w:bottom w:val="single" w:sz="4" w:space="0" w:color="auto"/>
              <w:right w:val="single" w:sz="8" w:space="0" w:color="auto"/>
            </w:tcBorders>
            <w:noWrap/>
            <w:vAlign w:val="center"/>
            <w:hideMark/>
          </w:tcPr>
          <w:p w14:paraId="7B55778D" w14:textId="77777777" w:rsidR="005E4CF6" w:rsidRPr="00214BBF" w:rsidRDefault="005E4CF6" w:rsidP="005F534C">
            <w:pPr>
              <w:jc w:val="center"/>
              <w:rPr>
                <w:i/>
                <w:iCs/>
                <w:color w:val="000000"/>
                <w:sz w:val="18"/>
                <w:szCs w:val="18"/>
              </w:rPr>
            </w:pPr>
            <w:r w:rsidRPr="00214BBF">
              <w:rPr>
                <w:i/>
                <w:iCs/>
                <w:color w:val="000000"/>
                <w:sz w:val="18"/>
                <w:szCs w:val="18"/>
              </w:rPr>
              <w:t>83 761</w:t>
            </w:r>
          </w:p>
        </w:tc>
      </w:tr>
      <w:tr w:rsidR="005E4CF6" w:rsidRPr="00214BBF" w14:paraId="6B309D63" w14:textId="77777777" w:rsidTr="005F534C">
        <w:trPr>
          <w:trHeight w:val="276"/>
        </w:trPr>
        <w:tc>
          <w:tcPr>
            <w:tcW w:w="1015" w:type="dxa"/>
            <w:tcBorders>
              <w:top w:val="nil"/>
              <w:left w:val="single" w:sz="8" w:space="0" w:color="auto"/>
              <w:bottom w:val="single" w:sz="4" w:space="0" w:color="auto"/>
              <w:right w:val="single" w:sz="4" w:space="0" w:color="auto"/>
            </w:tcBorders>
            <w:noWrap/>
            <w:vAlign w:val="center"/>
            <w:hideMark/>
          </w:tcPr>
          <w:p w14:paraId="3EBD9A96" w14:textId="77777777" w:rsidR="005E4CF6" w:rsidRPr="00214BBF" w:rsidRDefault="005E4CF6" w:rsidP="005F534C">
            <w:pPr>
              <w:jc w:val="center"/>
              <w:rPr>
                <w:i/>
                <w:iCs/>
                <w:color w:val="000000"/>
                <w:sz w:val="18"/>
                <w:szCs w:val="18"/>
              </w:rPr>
            </w:pPr>
            <w:r w:rsidRPr="00214BBF">
              <w:rPr>
                <w:i/>
                <w:iCs/>
                <w:color w:val="000000"/>
                <w:sz w:val="18"/>
                <w:szCs w:val="18"/>
              </w:rPr>
              <w:t>ΔFC</w:t>
            </w:r>
            <w:r w:rsidRPr="00214BBF">
              <w:rPr>
                <w:i/>
                <w:iCs/>
                <w:color w:val="000000"/>
                <w:sz w:val="18"/>
                <w:szCs w:val="18"/>
                <w:vertAlign w:val="superscript"/>
              </w:rPr>
              <w:t>SI</w:t>
            </w:r>
            <w:r w:rsidRPr="00214BBF">
              <w:rPr>
                <w:i/>
                <w:iCs/>
                <w:color w:val="000000"/>
                <w:sz w:val="18"/>
                <w:szCs w:val="18"/>
                <w:vertAlign w:val="subscript"/>
              </w:rPr>
              <w:t>2</w:t>
            </w:r>
          </w:p>
        </w:tc>
        <w:tc>
          <w:tcPr>
            <w:tcW w:w="3840" w:type="dxa"/>
            <w:tcBorders>
              <w:top w:val="nil"/>
              <w:left w:val="nil"/>
              <w:bottom w:val="single" w:sz="4" w:space="0" w:color="auto"/>
              <w:right w:val="single" w:sz="4" w:space="0" w:color="auto"/>
            </w:tcBorders>
            <w:noWrap/>
            <w:vAlign w:val="center"/>
            <w:hideMark/>
          </w:tcPr>
          <w:p w14:paraId="0AE04D74" w14:textId="77777777" w:rsidR="005E4CF6" w:rsidRPr="00214BBF" w:rsidRDefault="005E4CF6" w:rsidP="005F534C">
            <w:pPr>
              <w:jc w:val="both"/>
              <w:rPr>
                <w:i/>
                <w:iCs/>
                <w:color w:val="000000"/>
                <w:sz w:val="18"/>
                <w:szCs w:val="18"/>
              </w:rPr>
            </w:pPr>
            <w:r w:rsidRPr="00214BBF">
              <w:rPr>
                <w:i/>
                <w:iCs/>
                <w:color w:val="000000"/>
                <w:sz w:val="18"/>
                <w:szCs w:val="18"/>
              </w:rPr>
              <w:t>Privalomųjų su darbo santykiais susijusių mokestinių įmokų dydžio pokytis</w:t>
            </w:r>
          </w:p>
        </w:tc>
        <w:tc>
          <w:tcPr>
            <w:tcW w:w="785" w:type="dxa"/>
            <w:tcBorders>
              <w:top w:val="nil"/>
              <w:left w:val="nil"/>
              <w:bottom w:val="single" w:sz="4" w:space="0" w:color="auto"/>
              <w:right w:val="single" w:sz="4" w:space="0" w:color="auto"/>
            </w:tcBorders>
            <w:noWrap/>
            <w:vAlign w:val="center"/>
            <w:hideMark/>
          </w:tcPr>
          <w:p w14:paraId="5A081043" w14:textId="77777777" w:rsidR="005E4CF6" w:rsidRPr="00214BBF" w:rsidRDefault="005E4CF6" w:rsidP="005F534C">
            <w:pPr>
              <w:jc w:val="center"/>
              <w:rPr>
                <w:i/>
                <w:iCs/>
                <w:color w:val="000000"/>
                <w:sz w:val="18"/>
                <w:szCs w:val="18"/>
              </w:rPr>
            </w:pPr>
            <w:r w:rsidRPr="00214BBF">
              <w:rPr>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0264D23B" w14:textId="77777777" w:rsidR="005E4CF6" w:rsidRPr="00214BBF" w:rsidRDefault="005E4CF6" w:rsidP="005F534C">
            <w:pPr>
              <w:jc w:val="center"/>
              <w:rPr>
                <w:i/>
                <w:iCs/>
                <w:color w:val="000000"/>
                <w:sz w:val="18"/>
                <w:szCs w:val="18"/>
              </w:rPr>
            </w:pPr>
            <w:r w:rsidRPr="00214BBF">
              <w:rPr>
                <w:i/>
                <w:iCs/>
                <w:color w:val="000000"/>
                <w:sz w:val="18"/>
                <w:szCs w:val="18"/>
              </w:rPr>
              <w:t>1 153</w:t>
            </w:r>
          </w:p>
        </w:tc>
        <w:tc>
          <w:tcPr>
            <w:tcW w:w="1044" w:type="dxa"/>
            <w:tcBorders>
              <w:top w:val="nil"/>
              <w:left w:val="nil"/>
              <w:bottom w:val="single" w:sz="4" w:space="0" w:color="auto"/>
              <w:right w:val="single" w:sz="4" w:space="0" w:color="auto"/>
            </w:tcBorders>
            <w:noWrap/>
            <w:vAlign w:val="center"/>
            <w:hideMark/>
          </w:tcPr>
          <w:p w14:paraId="70E1C685" w14:textId="77777777" w:rsidR="005E4CF6" w:rsidRPr="00214BBF" w:rsidRDefault="005E4CF6" w:rsidP="005F534C">
            <w:pPr>
              <w:jc w:val="center"/>
              <w:rPr>
                <w:i/>
                <w:iCs/>
                <w:color w:val="000000"/>
                <w:sz w:val="18"/>
                <w:szCs w:val="18"/>
              </w:rPr>
            </w:pPr>
            <w:r w:rsidRPr="00214BBF">
              <w:rPr>
                <w:i/>
                <w:iCs/>
                <w:color w:val="000000"/>
                <w:sz w:val="18"/>
                <w:szCs w:val="18"/>
              </w:rPr>
              <w:t>262</w:t>
            </w:r>
          </w:p>
        </w:tc>
        <w:tc>
          <w:tcPr>
            <w:tcW w:w="945" w:type="dxa"/>
            <w:tcBorders>
              <w:top w:val="nil"/>
              <w:left w:val="nil"/>
              <w:bottom w:val="single" w:sz="4" w:space="0" w:color="auto"/>
              <w:right w:val="single" w:sz="4" w:space="0" w:color="auto"/>
            </w:tcBorders>
            <w:noWrap/>
            <w:vAlign w:val="center"/>
            <w:hideMark/>
          </w:tcPr>
          <w:p w14:paraId="2089D927" w14:textId="77777777" w:rsidR="005E4CF6" w:rsidRPr="00214BBF" w:rsidRDefault="005E4CF6" w:rsidP="005F534C">
            <w:pPr>
              <w:jc w:val="center"/>
              <w:rPr>
                <w:i/>
                <w:iCs/>
                <w:color w:val="000000"/>
                <w:sz w:val="18"/>
                <w:szCs w:val="18"/>
              </w:rPr>
            </w:pPr>
            <w:r w:rsidRPr="00214BBF">
              <w:rPr>
                <w:i/>
                <w:iCs/>
                <w:color w:val="000000"/>
                <w:sz w:val="18"/>
                <w:szCs w:val="18"/>
              </w:rPr>
              <w:t>68</w:t>
            </w:r>
          </w:p>
        </w:tc>
        <w:tc>
          <w:tcPr>
            <w:tcW w:w="997" w:type="dxa"/>
            <w:tcBorders>
              <w:top w:val="nil"/>
              <w:left w:val="nil"/>
              <w:bottom w:val="single" w:sz="4" w:space="0" w:color="auto"/>
              <w:right w:val="single" w:sz="8" w:space="0" w:color="auto"/>
            </w:tcBorders>
            <w:noWrap/>
            <w:vAlign w:val="center"/>
            <w:hideMark/>
          </w:tcPr>
          <w:p w14:paraId="635C68E2" w14:textId="77777777" w:rsidR="005E4CF6" w:rsidRPr="00214BBF" w:rsidRDefault="005E4CF6" w:rsidP="005F534C">
            <w:pPr>
              <w:jc w:val="center"/>
              <w:rPr>
                <w:i/>
                <w:iCs/>
                <w:color w:val="000000"/>
                <w:sz w:val="18"/>
                <w:szCs w:val="18"/>
              </w:rPr>
            </w:pPr>
            <w:r w:rsidRPr="00214BBF">
              <w:rPr>
                <w:i/>
                <w:iCs/>
                <w:color w:val="000000"/>
                <w:sz w:val="18"/>
                <w:szCs w:val="18"/>
              </w:rPr>
              <w:t>1 483</w:t>
            </w:r>
          </w:p>
        </w:tc>
      </w:tr>
      <w:tr w:rsidR="005E4CF6" w:rsidRPr="00214BBF" w14:paraId="4EF919B1" w14:textId="77777777" w:rsidTr="005F534C">
        <w:trPr>
          <w:trHeight w:val="276"/>
        </w:trPr>
        <w:tc>
          <w:tcPr>
            <w:tcW w:w="1015" w:type="dxa"/>
            <w:tcBorders>
              <w:top w:val="nil"/>
              <w:left w:val="single" w:sz="8" w:space="0" w:color="auto"/>
              <w:bottom w:val="single" w:sz="4" w:space="0" w:color="auto"/>
              <w:right w:val="single" w:sz="4" w:space="0" w:color="auto"/>
            </w:tcBorders>
            <w:noWrap/>
            <w:vAlign w:val="center"/>
            <w:hideMark/>
          </w:tcPr>
          <w:p w14:paraId="4312BF66" w14:textId="77777777" w:rsidR="005E4CF6" w:rsidRPr="00214BBF" w:rsidRDefault="005E4CF6" w:rsidP="005F534C">
            <w:pPr>
              <w:jc w:val="center"/>
              <w:rPr>
                <w:i/>
                <w:iCs/>
                <w:color w:val="000000"/>
                <w:sz w:val="18"/>
                <w:szCs w:val="18"/>
              </w:rPr>
            </w:pPr>
            <w:r w:rsidRPr="00214BBF">
              <w:rPr>
                <w:i/>
                <w:iCs/>
                <w:color w:val="000000"/>
                <w:sz w:val="18"/>
                <w:szCs w:val="18"/>
              </w:rPr>
              <w:t>ΔFC</w:t>
            </w:r>
            <w:r w:rsidRPr="00214BBF">
              <w:rPr>
                <w:i/>
                <w:iCs/>
                <w:color w:val="000000"/>
                <w:sz w:val="18"/>
                <w:szCs w:val="18"/>
                <w:vertAlign w:val="subscript"/>
              </w:rPr>
              <w:t>X2</w:t>
            </w:r>
          </w:p>
        </w:tc>
        <w:tc>
          <w:tcPr>
            <w:tcW w:w="3840" w:type="dxa"/>
            <w:tcBorders>
              <w:top w:val="nil"/>
              <w:left w:val="nil"/>
              <w:bottom w:val="single" w:sz="4" w:space="0" w:color="auto"/>
              <w:right w:val="single" w:sz="4" w:space="0" w:color="auto"/>
            </w:tcBorders>
            <w:noWrap/>
            <w:vAlign w:val="center"/>
            <w:hideMark/>
          </w:tcPr>
          <w:p w14:paraId="41457D34" w14:textId="77777777" w:rsidR="005E4CF6" w:rsidRPr="00214BBF" w:rsidRDefault="005E4CF6" w:rsidP="005F534C">
            <w:pPr>
              <w:rPr>
                <w:i/>
                <w:iCs/>
                <w:color w:val="000000"/>
                <w:sz w:val="18"/>
                <w:szCs w:val="18"/>
              </w:rPr>
            </w:pPr>
            <w:r w:rsidRPr="00214BBF">
              <w:rPr>
                <w:i/>
                <w:iCs/>
                <w:color w:val="000000"/>
                <w:sz w:val="18"/>
                <w:szCs w:val="18"/>
              </w:rPr>
              <w:t>Pastoviųjų sąnaudų pokytis dėl pagal Energetikos įstatymą mokamų mokesčių</w:t>
            </w:r>
          </w:p>
        </w:tc>
        <w:tc>
          <w:tcPr>
            <w:tcW w:w="785" w:type="dxa"/>
            <w:tcBorders>
              <w:top w:val="nil"/>
              <w:left w:val="nil"/>
              <w:bottom w:val="single" w:sz="4" w:space="0" w:color="auto"/>
              <w:right w:val="single" w:sz="4" w:space="0" w:color="auto"/>
            </w:tcBorders>
            <w:noWrap/>
            <w:vAlign w:val="center"/>
            <w:hideMark/>
          </w:tcPr>
          <w:p w14:paraId="21E102DE" w14:textId="77777777" w:rsidR="005E4CF6" w:rsidRPr="00214BBF" w:rsidRDefault="005E4CF6" w:rsidP="005F534C">
            <w:pPr>
              <w:jc w:val="center"/>
              <w:rPr>
                <w:i/>
                <w:iCs/>
                <w:color w:val="000000"/>
                <w:sz w:val="18"/>
                <w:szCs w:val="18"/>
              </w:rPr>
            </w:pPr>
            <w:r w:rsidRPr="00214BBF">
              <w:rPr>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5037C35B" w14:textId="77777777" w:rsidR="005E4CF6" w:rsidRPr="00214BBF" w:rsidRDefault="005E4CF6" w:rsidP="005F534C">
            <w:pPr>
              <w:jc w:val="center"/>
              <w:rPr>
                <w:i/>
                <w:iCs/>
                <w:color w:val="000000"/>
                <w:sz w:val="18"/>
                <w:szCs w:val="18"/>
              </w:rPr>
            </w:pPr>
            <w:r w:rsidRPr="00214BBF">
              <w:rPr>
                <w:i/>
                <w:iCs/>
                <w:color w:val="000000"/>
                <w:sz w:val="18"/>
                <w:szCs w:val="18"/>
              </w:rPr>
              <w:t> </w:t>
            </w:r>
          </w:p>
        </w:tc>
        <w:tc>
          <w:tcPr>
            <w:tcW w:w="1044" w:type="dxa"/>
            <w:tcBorders>
              <w:top w:val="nil"/>
              <w:left w:val="nil"/>
              <w:bottom w:val="single" w:sz="4" w:space="0" w:color="auto"/>
              <w:right w:val="single" w:sz="4" w:space="0" w:color="auto"/>
            </w:tcBorders>
            <w:noWrap/>
            <w:vAlign w:val="center"/>
            <w:hideMark/>
          </w:tcPr>
          <w:p w14:paraId="064E698E" w14:textId="77777777" w:rsidR="005E4CF6" w:rsidRPr="00214BBF" w:rsidRDefault="005E4CF6" w:rsidP="005F534C">
            <w:pPr>
              <w:jc w:val="center"/>
              <w:rPr>
                <w:i/>
                <w:iCs/>
                <w:color w:val="000000"/>
                <w:sz w:val="18"/>
                <w:szCs w:val="18"/>
              </w:rPr>
            </w:pPr>
            <w:r w:rsidRPr="00214BBF">
              <w:rPr>
                <w:i/>
                <w:iCs/>
                <w:color w:val="000000"/>
                <w:sz w:val="18"/>
                <w:szCs w:val="18"/>
              </w:rPr>
              <w:t>-1 233</w:t>
            </w:r>
          </w:p>
        </w:tc>
        <w:tc>
          <w:tcPr>
            <w:tcW w:w="945" w:type="dxa"/>
            <w:tcBorders>
              <w:top w:val="nil"/>
              <w:left w:val="nil"/>
              <w:bottom w:val="single" w:sz="4" w:space="0" w:color="auto"/>
              <w:right w:val="single" w:sz="4" w:space="0" w:color="auto"/>
            </w:tcBorders>
            <w:noWrap/>
            <w:vAlign w:val="center"/>
            <w:hideMark/>
          </w:tcPr>
          <w:p w14:paraId="09342ADB" w14:textId="77777777" w:rsidR="005E4CF6" w:rsidRPr="00214BBF" w:rsidRDefault="005E4CF6" w:rsidP="005F534C">
            <w:pPr>
              <w:jc w:val="center"/>
              <w:rPr>
                <w:i/>
                <w:iCs/>
                <w:color w:val="000000"/>
                <w:sz w:val="18"/>
                <w:szCs w:val="18"/>
              </w:rPr>
            </w:pPr>
            <w:r w:rsidRPr="00214BBF">
              <w:rPr>
                <w:i/>
                <w:iCs/>
                <w:color w:val="000000"/>
                <w:sz w:val="18"/>
                <w:szCs w:val="18"/>
              </w:rPr>
              <w:t> </w:t>
            </w:r>
          </w:p>
        </w:tc>
        <w:tc>
          <w:tcPr>
            <w:tcW w:w="997" w:type="dxa"/>
            <w:tcBorders>
              <w:top w:val="nil"/>
              <w:left w:val="nil"/>
              <w:bottom w:val="single" w:sz="4" w:space="0" w:color="auto"/>
              <w:right w:val="single" w:sz="8" w:space="0" w:color="auto"/>
            </w:tcBorders>
            <w:noWrap/>
            <w:vAlign w:val="center"/>
            <w:hideMark/>
          </w:tcPr>
          <w:p w14:paraId="315CC4DD" w14:textId="77777777" w:rsidR="005E4CF6" w:rsidRPr="00214BBF" w:rsidRDefault="005E4CF6" w:rsidP="005F534C">
            <w:pPr>
              <w:jc w:val="center"/>
              <w:rPr>
                <w:i/>
                <w:iCs/>
                <w:color w:val="000000"/>
                <w:sz w:val="18"/>
                <w:szCs w:val="18"/>
              </w:rPr>
            </w:pPr>
            <w:r w:rsidRPr="00214BBF">
              <w:rPr>
                <w:i/>
                <w:iCs/>
                <w:color w:val="000000"/>
                <w:sz w:val="18"/>
                <w:szCs w:val="18"/>
              </w:rPr>
              <w:t>-1 233</w:t>
            </w:r>
          </w:p>
        </w:tc>
      </w:tr>
      <w:tr w:rsidR="005E4CF6" w:rsidRPr="00214BBF" w14:paraId="47EE80F3" w14:textId="77777777" w:rsidTr="005F534C">
        <w:trPr>
          <w:trHeight w:val="276"/>
        </w:trPr>
        <w:tc>
          <w:tcPr>
            <w:tcW w:w="4855" w:type="dxa"/>
            <w:gridSpan w:val="2"/>
            <w:vMerge w:val="restart"/>
            <w:tcBorders>
              <w:top w:val="single" w:sz="4" w:space="0" w:color="auto"/>
              <w:left w:val="single" w:sz="8" w:space="0" w:color="auto"/>
              <w:bottom w:val="single" w:sz="8" w:space="0" w:color="000000"/>
              <w:right w:val="single" w:sz="4" w:space="0" w:color="auto"/>
            </w:tcBorders>
            <w:noWrap/>
            <w:vAlign w:val="center"/>
            <w:hideMark/>
          </w:tcPr>
          <w:p w14:paraId="455B791C" w14:textId="77777777" w:rsidR="005E4CF6" w:rsidRPr="00214BBF" w:rsidRDefault="005E4CF6" w:rsidP="005F534C">
            <w:pPr>
              <w:rPr>
                <w:b/>
                <w:bCs/>
                <w:i/>
                <w:iCs/>
                <w:color w:val="000000"/>
                <w:sz w:val="18"/>
                <w:szCs w:val="18"/>
              </w:rPr>
            </w:pPr>
            <w:r w:rsidRPr="00214BBF">
              <w:rPr>
                <w:b/>
                <w:bCs/>
                <w:i/>
                <w:iCs/>
                <w:color w:val="000000"/>
                <w:sz w:val="18"/>
                <w:szCs w:val="18"/>
              </w:rPr>
              <w:t>Pajamų bazinio lygio pastoviosios dalies pokytis</w:t>
            </w:r>
          </w:p>
        </w:tc>
        <w:tc>
          <w:tcPr>
            <w:tcW w:w="785" w:type="dxa"/>
            <w:tcBorders>
              <w:top w:val="nil"/>
              <w:left w:val="nil"/>
              <w:bottom w:val="single" w:sz="4" w:space="0" w:color="auto"/>
              <w:right w:val="single" w:sz="4" w:space="0" w:color="auto"/>
            </w:tcBorders>
            <w:noWrap/>
            <w:vAlign w:val="center"/>
            <w:hideMark/>
          </w:tcPr>
          <w:p w14:paraId="614210E5" w14:textId="77777777" w:rsidR="005E4CF6" w:rsidRPr="00214BBF" w:rsidRDefault="005E4CF6" w:rsidP="005F534C">
            <w:pPr>
              <w:jc w:val="center"/>
              <w:rPr>
                <w:b/>
                <w:bCs/>
                <w:i/>
                <w:iCs/>
                <w:color w:val="000000"/>
                <w:sz w:val="18"/>
                <w:szCs w:val="18"/>
              </w:rPr>
            </w:pPr>
            <w:r w:rsidRPr="00214BBF">
              <w:rPr>
                <w:b/>
                <w:bCs/>
                <w:i/>
                <w:iCs/>
                <w:color w:val="000000"/>
                <w:sz w:val="18"/>
                <w:szCs w:val="18"/>
              </w:rPr>
              <w:t>ct/kWh</w:t>
            </w:r>
          </w:p>
        </w:tc>
        <w:tc>
          <w:tcPr>
            <w:tcW w:w="1023" w:type="dxa"/>
            <w:tcBorders>
              <w:top w:val="nil"/>
              <w:left w:val="nil"/>
              <w:bottom w:val="single" w:sz="4" w:space="0" w:color="auto"/>
              <w:right w:val="single" w:sz="4" w:space="0" w:color="auto"/>
            </w:tcBorders>
            <w:noWrap/>
            <w:vAlign w:val="center"/>
            <w:hideMark/>
          </w:tcPr>
          <w:p w14:paraId="3E8F0658" w14:textId="77777777" w:rsidR="005E4CF6" w:rsidRPr="00214BBF" w:rsidRDefault="005E4CF6" w:rsidP="005F534C">
            <w:pPr>
              <w:jc w:val="center"/>
              <w:rPr>
                <w:b/>
                <w:bCs/>
                <w:i/>
                <w:iCs/>
                <w:color w:val="000000"/>
                <w:sz w:val="18"/>
                <w:szCs w:val="18"/>
              </w:rPr>
            </w:pPr>
            <w:r w:rsidRPr="00214BBF">
              <w:rPr>
                <w:b/>
                <w:bCs/>
                <w:i/>
                <w:iCs/>
                <w:color w:val="000000"/>
                <w:sz w:val="18"/>
                <w:szCs w:val="18"/>
              </w:rPr>
              <w:t>0,17</w:t>
            </w:r>
          </w:p>
        </w:tc>
        <w:tc>
          <w:tcPr>
            <w:tcW w:w="1044" w:type="dxa"/>
            <w:tcBorders>
              <w:top w:val="nil"/>
              <w:left w:val="nil"/>
              <w:bottom w:val="single" w:sz="4" w:space="0" w:color="auto"/>
              <w:right w:val="single" w:sz="4" w:space="0" w:color="auto"/>
            </w:tcBorders>
            <w:noWrap/>
            <w:vAlign w:val="center"/>
            <w:hideMark/>
          </w:tcPr>
          <w:p w14:paraId="0FF3400E" w14:textId="77777777" w:rsidR="005E4CF6" w:rsidRPr="00214BBF" w:rsidRDefault="005E4CF6" w:rsidP="005F534C">
            <w:pPr>
              <w:jc w:val="center"/>
              <w:rPr>
                <w:b/>
                <w:bCs/>
                <w:i/>
                <w:iCs/>
                <w:color w:val="000000"/>
                <w:sz w:val="18"/>
                <w:szCs w:val="18"/>
              </w:rPr>
            </w:pPr>
            <w:r w:rsidRPr="00214BBF">
              <w:rPr>
                <w:b/>
                <w:bCs/>
                <w:i/>
                <w:iCs/>
                <w:color w:val="000000"/>
                <w:sz w:val="18"/>
                <w:szCs w:val="18"/>
              </w:rPr>
              <w:t>0,06</w:t>
            </w:r>
          </w:p>
        </w:tc>
        <w:tc>
          <w:tcPr>
            <w:tcW w:w="945" w:type="dxa"/>
            <w:tcBorders>
              <w:top w:val="nil"/>
              <w:left w:val="nil"/>
              <w:bottom w:val="single" w:sz="4" w:space="0" w:color="auto"/>
              <w:right w:val="single" w:sz="4" w:space="0" w:color="auto"/>
            </w:tcBorders>
            <w:noWrap/>
            <w:vAlign w:val="center"/>
            <w:hideMark/>
          </w:tcPr>
          <w:p w14:paraId="01ED03A6" w14:textId="77777777" w:rsidR="005E4CF6" w:rsidRPr="00214BBF" w:rsidRDefault="005E4CF6" w:rsidP="005F534C">
            <w:pPr>
              <w:jc w:val="center"/>
              <w:rPr>
                <w:b/>
                <w:bCs/>
                <w:i/>
                <w:iCs/>
                <w:color w:val="000000"/>
                <w:sz w:val="18"/>
                <w:szCs w:val="18"/>
              </w:rPr>
            </w:pPr>
            <w:r w:rsidRPr="00214BBF">
              <w:rPr>
                <w:b/>
                <w:bCs/>
                <w:i/>
                <w:iCs/>
                <w:color w:val="000000"/>
                <w:sz w:val="18"/>
                <w:szCs w:val="18"/>
              </w:rPr>
              <w:t>0,01</w:t>
            </w:r>
          </w:p>
        </w:tc>
        <w:tc>
          <w:tcPr>
            <w:tcW w:w="997" w:type="dxa"/>
            <w:tcBorders>
              <w:top w:val="nil"/>
              <w:left w:val="nil"/>
              <w:bottom w:val="single" w:sz="4" w:space="0" w:color="auto"/>
              <w:right w:val="single" w:sz="8" w:space="0" w:color="auto"/>
            </w:tcBorders>
            <w:noWrap/>
            <w:vAlign w:val="center"/>
            <w:hideMark/>
          </w:tcPr>
          <w:p w14:paraId="7CB1B15F" w14:textId="77777777" w:rsidR="005E4CF6" w:rsidRPr="00214BBF" w:rsidRDefault="005E4CF6" w:rsidP="005F534C">
            <w:pPr>
              <w:jc w:val="center"/>
              <w:rPr>
                <w:b/>
                <w:bCs/>
                <w:i/>
                <w:iCs/>
                <w:color w:val="000000"/>
                <w:sz w:val="18"/>
                <w:szCs w:val="18"/>
              </w:rPr>
            </w:pPr>
            <w:r w:rsidRPr="00214BBF">
              <w:rPr>
                <w:b/>
                <w:bCs/>
                <w:i/>
                <w:iCs/>
                <w:color w:val="000000"/>
                <w:sz w:val="18"/>
                <w:szCs w:val="18"/>
              </w:rPr>
              <w:t>0,24</w:t>
            </w:r>
          </w:p>
        </w:tc>
      </w:tr>
      <w:tr w:rsidR="005E4CF6" w:rsidRPr="00214BBF" w14:paraId="4E50F9DB" w14:textId="77777777" w:rsidTr="005F534C">
        <w:trPr>
          <w:trHeight w:val="276"/>
        </w:trPr>
        <w:tc>
          <w:tcPr>
            <w:tcW w:w="4855" w:type="dxa"/>
            <w:gridSpan w:val="2"/>
            <w:vMerge/>
            <w:tcBorders>
              <w:top w:val="single" w:sz="4" w:space="0" w:color="auto"/>
              <w:left w:val="single" w:sz="8" w:space="0" w:color="auto"/>
              <w:bottom w:val="single" w:sz="8" w:space="0" w:color="000000"/>
              <w:right w:val="single" w:sz="4" w:space="0" w:color="auto"/>
            </w:tcBorders>
            <w:vAlign w:val="center"/>
            <w:hideMark/>
          </w:tcPr>
          <w:p w14:paraId="23D5C95D" w14:textId="77777777" w:rsidR="005E4CF6" w:rsidRPr="00214BBF" w:rsidRDefault="005E4CF6" w:rsidP="005F534C">
            <w:pPr>
              <w:rPr>
                <w:b/>
                <w:bCs/>
                <w:i/>
                <w:iCs/>
                <w:color w:val="000000"/>
                <w:sz w:val="18"/>
                <w:szCs w:val="18"/>
              </w:rPr>
            </w:pPr>
          </w:p>
        </w:tc>
        <w:tc>
          <w:tcPr>
            <w:tcW w:w="785" w:type="dxa"/>
            <w:tcBorders>
              <w:top w:val="nil"/>
              <w:left w:val="nil"/>
              <w:bottom w:val="single" w:sz="4" w:space="0" w:color="auto"/>
              <w:right w:val="single" w:sz="4" w:space="0" w:color="auto"/>
            </w:tcBorders>
            <w:noWrap/>
            <w:vAlign w:val="center"/>
            <w:hideMark/>
          </w:tcPr>
          <w:p w14:paraId="5B9ABB84" w14:textId="77777777" w:rsidR="005E4CF6" w:rsidRPr="00214BBF" w:rsidRDefault="005E4CF6" w:rsidP="005F534C">
            <w:pPr>
              <w:jc w:val="center"/>
              <w:rPr>
                <w:b/>
                <w:bCs/>
                <w:i/>
                <w:iCs/>
                <w:color w:val="000000"/>
                <w:sz w:val="18"/>
                <w:szCs w:val="18"/>
              </w:rPr>
            </w:pPr>
            <w:r w:rsidRPr="00214BBF">
              <w:rPr>
                <w:b/>
                <w:bCs/>
                <w:i/>
                <w:iCs/>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5A18A2C6" w14:textId="77777777" w:rsidR="005E4CF6" w:rsidRPr="00214BBF" w:rsidRDefault="005E4CF6" w:rsidP="005F534C">
            <w:pPr>
              <w:jc w:val="center"/>
              <w:rPr>
                <w:b/>
                <w:bCs/>
                <w:i/>
                <w:iCs/>
                <w:color w:val="000000"/>
                <w:sz w:val="18"/>
                <w:szCs w:val="18"/>
              </w:rPr>
            </w:pPr>
            <w:r w:rsidRPr="00214BBF">
              <w:rPr>
                <w:b/>
                <w:bCs/>
                <w:i/>
                <w:iCs/>
                <w:color w:val="000000"/>
                <w:sz w:val="18"/>
                <w:szCs w:val="18"/>
              </w:rPr>
              <w:t>72 157</w:t>
            </w:r>
          </w:p>
        </w:tc>
        <w:tc>
          <w:tcPr>
            <w:tcW w:w="1044" w:type="dxa"/>
            <w:tcBorders>
              <w:top w:val="nil"/>
              <w:left w:val="nil"/>
              <w:bottom w:val="single" w:sz="4" w:space="0" w:color="auto"/>
              <w:right w:val="single" w:sz="4" w:space="0" w:color="auto"/>
            </w:tcBorders>
            <w:noWrap/>
            <w:vAlign w:val="center"/>
            <w:hideMark/>
          </w:tcPr>
          <w:p w14:paraId="7E296E60" w14:textId="77777777" w:rsidR="005E4CF6" w:rsidRPr="00214BBF" w:rsidRDefault="005E4CF6" w:rsidP="005F534C">
            <w:pPr>
              <w:jc w:val="center"/>
              <w:rPr>
                <w:b/>
                <w:bCs/>
                <w:i/>
                <w:iCs/>
                <w:color w:val="000000"/>
                <w:sz w:val="18"/>
                <w:szCs w:val="18"/>
              </w:rPr>
            </w:pPr>
            <w:r w:rsidRPr="00214BBF">
              <w:rPr>
                <w:b/>
                <w:bCs/>
                <w:i/>
                <w:iCs/>
                <w:color w:val="000000"/>
                <w:sz w:val="18"/>
                <w:szCs w:val="18"/>
              </w:rPr>
              <w:t>21 269</w:t>
            </w:r>
          </w:p>
        </w:tc>
        <w:tc>
          <w:tcPr>
            <w:tcW w:w="945" w:type="dxa"/>
            <w:tcBorders>
              <w:top w:val="nil"/>
              <w:left w:val="nil"/>
              <w:bottom w:val="single" w:sz="4" w:space="0" w:color="auto"/>
              <w:right w:val="single" w:sz="4" w:space="0" w:color="auto"/>
            </w:tcBorders>
            <w:noWrap/>
            <w:vAlign w:val="center"/>
            <w:hideMark/>
          </w:tcPr>
          <w:p w14:paraId="167C6106" w14:textId="77777777" w:rsidR="005E4CF6" w:rsidRPr="00214BBF" w:rsidRDefault="005E4CF6" w:rsidP="005F534C">
            <w:pPr>
              <w:jc w:val="center"/>
              <w:rPr>
                <w:b/>
                <w:bCs/>
                <w:i/>
                <w:iCs/>
                <w:color w:val="000000"/>
                <w:sz w:val="18"/>
                <w:szCs w:val="18"/>
              </w:rPr>
            </w:pPr>
            <w:r w:rsidRPr="00214BBF">
              <w:rPr>
                <w:b/>
                <w:bCs/>
                <w:i/>
                <w:iCs/>
                <w:color w:val="000000"/>
                <w:sz w:val="18"/>
                <w:szCs w:val="18"/>
              </w:rPr>
              <w:t>4 304</w:t>
            </w:r>
          </w:p>
        </w:tc>
        <w:tc>
          <w:tcPr>
            <w:tcW w:w="997" w:type="dxa"/>
            <w:tcBorders>
              <w:top w:val="nil"/>
              <w:left w:val="nil"/>
              <w:bottom w:val="single" w:sz="4" w:space="0" w:color="auto"/>
              <w:right w:val="single" w:sz="8" w:space="0" w:color="auto"/>
            </w:tcBorders>
            <w:noWrap/>
            <w:vAlign w:val="center"/>
            <w:hideMark/>
          </w:tcPr>
          <w:p w14:paraId="3CA2D84E" w14:textId="77777777" w:rsidR="005E4CF6" w:rsidRPr="00214BBF" w:rsidRDefault="005E4CF6" w:rsidP="005F534C">
            <w:pPr>
              <w:jc w:val="center"/>
              <w:rPr>
                <w:b/>
                <w:bCs/>
                <w:i/>
                <w:iCs/>
                <w:color w:val="000000"/>
                <w:sz w:val="18"/>
                <w:szCs w:val="18"/>
              </w:rPr>
            </w:pPr>
            <w:r w:rsidRPr="00214BBF">
              <w:rPr>
                <w:b/>
                <w:bCs/>
                <w:i/>
                <w:iCs/>
                <w:color w:val="000000"/>
                <w:sz w:val="18"/>
                <w:szCs w:val="18"/>
              </w:rPr>
              <w:t>97 730</w:t>
            </w:r>
          </w:p>
        </w:tc>
      </w:tr>
      <w:tr w:rsidR="005E4CF6" w:rsidRPr="00214BBF" w14:paraId="05F543A3" w14:textId="77777777" w:rsidTr="005F534C">
        <w:trPr>
          <w:trHeight w:val="276"/>
        </w:trPr>
        <w:tc>
          <w:tcPr>
            <w:tcW w:w="4855" w:type="dxa"/>
            <w:gridSpan w:val="2"/>
            <w:vMerge/>
            <w:tcBorders>
              <w:top w:val="single" w:sz="4" w:space="0" w:color="auto"/>
              <w:left w:val="single" w:sz="8" w:space="0" w:color="auto"/>
              <w:bottom w:val="single" w:sz="8" w:space="0" w:color="000000"/>
              <w:right w:val="single" w:sz="4" w:space="0" w:color="auto"/>
            </w:tcBorders>
            <w:vAlign w:val="center"/>
            <w:hideMark/>
          </w:tcPr>
          <w:p w14:paraId="138E3861" w14:textId="77777777" w:rsidR="005E4CF6" w:rsidRPr="00214BBF" w:rsidRDefault="005E4CF6" w:rsidP="005F534C">
            <w:pPr>
              <w:rPr>
                <w:b/>
                <w:bCs/>
                <w:i/>
                <w:iCs/>
                <w:color w:val="000000"/>
                <w:sz w:val="18"/>
                <w:szCs w:val="18"/>
              </w:rPr>
            </w:pPr>
          </w:p>
        </w:tc>
        <w:tc>
          <w:tcPr>
            <w:tcW w:w="785" w:type="dxa"/>
            <w:tcBorders>
              <w:top w:val="nil"/>
              <w:left w:val="nil"/>
              <w:bottom w:val="single" w:sz="8" w:space="0" w:color="auto"/>
              <w:right w:val="single" w:sz="4" w:space="0" w:color="auto"/>
            </w:tcBorders>
            <w:noWrap/>
            <w:vAlign w:val="center"/>
            <w:hideMark/>
          </w:tcPr>
          <w:p w14:paraId="52159157" w14:textId="77777777" w:rsidR="005E4CF6" w:rsidRPr="00214BBF" w:rsidRDefault="005E4CF6" w:rsidP="005F534C">
            <w:pPr>
              <w:jc w:val="center"/>
              <w:rPr>
                <w:color w:val="000000"/>
                <w:sz w:val="18"/>
                <w:szCs w:val="18"/>
              </w:rPr>
            </w:pPr>
            <w:r w:rsidRPr="00214BBF">
              <w:rPr>
                <w:color w:val="000000"/>
                <w:sz w:val="18"/>
                <w:szCs w:val="18"/>
              </w:rPr>
              <w:t>proc.</w:t>
            </w:r>
          </w:p>
        </w:tc>
        <w:tc>
          <w:tcPr>
            <w:tcW w:w="1023" w:type="dxa"/>
            <w:tcBorders>
              <w:top w:val="nil"/>
              <w:left w:val="nil"/>
              <w:bottom w:val="single" w:sz="8" w:space="0" w:color="auto"/>
              <w:right w:val="single" w:sz="4" w:space="0" w:color="auto"/>
            </w:tcBorders>
            <w:noWrap/>
            <w:vAlign w:val="center"/>
            <w:hideMark/>
          </w:tcPr>
          <w:p w14:paraId="2075A7F9" w14:textId="77777777" w:rsidR="005E4CF6" w:rsidRPr="00214BBF" w:rsidRDefault="005E4CF6" w:rsidP="005F534C">
            <w:pPr>
              <w:jc w:val="center"/>
              <w:rPr>
                <w:color w:val="000000"/>
                <w:sz w:val="18"/>
                <w:szCs w:val="18"/>
              </w:rPr>
            </w:pPr>
            <w:r w:rsidRPr="00214BBF">
              <w:rPr>
                <w:color w:val="000000"/>
                <w:sz w:val="18"/>
                <w:szCs w:val="18"/>
              </w:rPr>
              <w:t>4,63</w:t>
            </w:r>
          </w:p>
        </w:tc>
        <w:tc>
          <w:tcPr>
            <w:tcW w:w="1044" w:type="dxa"/>
            <w:tcBorders>
              <w:top w:val="nil"/>
              <w:left w:val="nil"/>
              <w:bottom w:val="single" w:sz="8" w:space="0" w:color="auto"/>
              <w:right w:val="single" w:sz="4" w:space="0" w:color="auto"/>
            </w:tcBorders>
            <w:noWrap/>
            <w:vAlign w:val="center"/>
            <w:hideMark/>
          </w:tcPr>
          <w:p w14:paraId="5CB9CE7A" w14:textId="77777777" w:rsidR="005E4CF6" w:rsidRPr="00214BBF" w:rsidRDefault="005E4CF6" w:rsidP="005F534C">
            <w:pPr>
              <w:jc w:val="center"/>
              <w:rPr>
                <w:color w:val="000000"/>
                <w:sz w:val="18"/>
                <w:szCs w:val="18"/>
              </w:rPr>
            </w:pPr>
            <w:r w:rsidRPr="00214BBF">
              <w:rPr>
                <w:color w:val="000000"/>
                <w:sz w:val="18"/>
                <w:szCs w:val="18"/>
              </w:rPr>
              <w:t>4,68</w:t>
            </w:r>
          </w:p>
        </w:tc>
        <w:tc>
          <w:tcPr>
            <w:tcW w:w="945" w:type="dxa"/>
            <w:tcBorders>
              <w:top w:val="nil"/>
              <w:left w:val="nil"/>
              <w:bottom w:val="single" w:sz="8" w:space="0" w:color="auto"/>
              <w:right w:val="single" w:sz="4" w:space="0" w:color="auto"/>
            </w:tcBorders>
            <w:noWrap/>
            <w:vAlign w:val="center"/>
            <w:hideMark/>
          </w:tcPr>
          <w:p w14:paraId="5F33020C" w14:textId="77777777" w:rsidR="005E4CF6" w:rsidRPr="00214BBF" w:rsidRDefault="005E4CF6" w:rsidP="005F534C">
            <w:pPr>
              <w:jc w:val="center"/>
              <w:rPr>
                <w:color w:val="000000"/>
                <w:sz w:val="18"/>
                <w:szCs w:val="18"/>
              </w:rPr>
            </w:pPr>
            <w:r w:rsidRPr="00214BBF">
              <w:rPr>
                <w:color w:val="000000"/>
                <w:sz w:val="18"/>
                <w:szCs w:val="18"/>
              </w:rPr>
              <w:t>5,36</w:t>
            </w:r>
          </w:p>
        </w:tc>
        <w:tc>
          <w:tcPr>
            <w:tcW w:w="997" w:type="dxa"/>
            <w:tcBorders>
              <w:top w:val="nil"/>
              <w:left w:val="nil"/>
              <w:bottom w:val="single" w:sz="8" w:space="0" w:color="auto"/>
              <w:right w:val="single" w:sz="8" w:space="0" w:color="auto"/>
            </w:tcBorders>
            <w:noWrap/>
            <w:vAlign w:val="center"/>
            <w:hideMark/>
          </w:tcPr>
          <w:p w14:paraId="42E27D7F" w14:textId="77777777" w:rsidR="005E4CF6" w:rsidRPr="00214BBF" w:rsidRDefault="005E4CF6" w:rsidP="005F534C">
            <w:pPr>
              <w:jc w:val="center"/>
              <w:rPr>
                <w:color w:val="000000"/>
                <w:sz w:val="18"/>
                <w:szCs w:val="18"/>
              </w:rPr>
            </w:pPr>
            <w:r w:rsidRPr="00214BBF">
              <w:rPr>
                <w:color w:val="000000"/>
                <w:sz w:val="18"/>
                <w:szCs w:val="18"/>
              </w:rPr>
              <w:t>4,67</w:t>
            </w:r>
          </w:p>
        </w:tc>
      </w:tr>
      <w:tr w:rsidR="005E4CF6" w:rsidRPr="00214BBF" w14:paraId="54324773" w14:textId="77777777" w:rsidTr="005F534C">
        <w:trPr>
          <w:trHeight w:val="276"/>
        </w:trPr>
        <w:tc>
          <w:tcPr>
            <w:tcW w:w="4855" w:type="dxa"/>
            <w:gridSpan w:val="2"/>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2D30772B" w14:textId="77777777" w:rsidR="005E4CF6" w:rsidRPr="00214BBF" w:rsidRDefault="005E4CF6" w:rsidP="005F534C">
            <w:pPr>
              <w:rPr>
                <w:b/>
                <w:bCs/>
                <w:color w:val="000000"/>
                <w:sz w:val="18"/>
                <w:szCs w:val="18"/>
              </w:rPr>
            </w:pPr>
            <w:r w:rsidRPr="00214BBF">
              <w:rPr>
                <w:b/>
                <w:bCs/>
                <w:color w:val="000000"/>
                <w:sz w:val="18"/>
                <w:szCs w:val="18"/>
              </w:rPr>
              <w:t>Koreguota šilumos kainos pastovioji dedamoji</w:t>
            </w:r>
          </w:p>
        </w:tc>
        <w:tc>
          <w:tcPr>
            <w:tcW w:w="785" w:type="dxa"/>
            <w:tcBorders>
              <w:top w:val="nil"/>
              <w:left w:val="nil"/>
              <w:bottom w:val="single" w:sz="4" w:space="0" w:color="auto"/>
              <w:right w:val="single" w:sz="4" w:space="0" w:color="auto"/>
            </w:tcBorders>
            <w:shd w:val="clear" w:color="000000" w:fill="F2F2F2"/>
            <w:noWrap/>
            <w:vAlign w:val="center"/>
            <w:hideMark/>
          </w:tcPr>
          <w:p w14:paraId="375873E1" w14:textId="77777777" w:rsidR="005E4CF6" w:rsidRPr="00214BBF" w:rsidRDefault="005E4CF6" w:rsidP="005F534C">
            <w:pPr>
              <w:jc w:val="center"/>
              <w:rPr>
                <w:b/>
                <w:bCs/>
                <w:color w:val="000000"/>
                <w:sz w:val="18"/>
                <w:szCs w:val="18"/>
              </w:rPr>
            </w:pPr>
            <w:r w:rsidRPr="00214BBF">
              <w:rPr>
                <w:b/>
                <w:bCs/>
                <w:color w:val="000000"/>
                <w:sz w:val="18"/>
                <w:szCs w:val="18"/>
              </w:rPr>
              <w:t>ct/kWh</w:t>
            </w:r>
          </w:p>
        </w:tc>
        <w:tc>
          <w:tcPr>
            <w:tcW w:w="1023" w:type="dxa"/>
            <w:tcBorders>
              <w:top w:val="nil"/>
              <w:left w:val="nil"/>
              <w:bottom w:val="single" w:sz="4" w:space="0" w:color="auto"/>
              <w:right w:val="single" w:sz="4" w:space="0" w:color="auto"/>
            </w:tcBorders>
            <w:shd w:val="clear" w:color="000000" w:fill="F2F2F2"/>
            <w:noWrap/>
            <w:vAlign w:val="center"/>
            <w:hideMark/>
          </w:tcPr>
          <w:p w14:paraId="57624E9C" w14:textId="77777777" w:rsidR="005E4CF6" w:rsidRPr="00214BBF" w:rsidRDefault="005E4CF6" w:rsidP="005F534C">
            <w:pPr>
              <w:jc w:val="center"/>
              <w:rPr>
                <w:b/>
                <w:bCs/>
                <w:color w:val="000000"/>
                <w:sz w:val="18"/>
                <w:szCs w:val="18"/>
              </w:rPr>
            </w:pPr>
            <w:r w:rsidRPr="00214BBF">
              <w:rPr>
                <w:b/>
                <w:bCs/>
                <w:color w:val="000000"/>
                <w:sz w:val="18"/>
                <w:szCs w:val="18"/>
              </w:rPr>
              <w:t>3,89</w:t>
            </w:r>
          </w:p>
        </w:tc>
        <w:tc>
          <w:tcPr>
            <w:tcW w:w="1044" w:type="dxa"/>
            <w:tcBorders>
              <w:top w:val="nil"/>
              <w:left w:val="nil"/>
              <w:bottom w:val="single" w:sz="4" w:space="0" w:color="auto"/>
              <w:right w:val="single" w:sz="4" w:space="0" w:color="auto"/>
            </w:tcBorders>
            <w:shd w:val="clear" w:color="000000" w:fill="F2F2F2"/>
            <w:noWrap/>
            <w:vAlign w:val="center"/>
            <w:hideMark/>
          </w:tcPr>
          <w:p w14:paraId="716EA8A3" w14:textId="77777777" w:rsidR="005E4CF6" w:rsidRPr="00214BBF" w:rsidRDefault="005E4CF6" w:rsidP="005F534C">
            <w:pPr>
              <w:jc w:val="center"/>
              <w:rPr>
                <w:b/>
                <w:bCs/>
                <w:color w:val="000000"/>
                <w:sz w:val="18"/>
                <w:szCs w:val="18"/>
              </w:rPr>
            </w:pPr>
            <w:r w:rsidRPr="00214BBF">
              <w:rPr>
                <w:b/>
                <w:bCs/>
                <w:color w:val="000000"/>
                <w:sz w:val="18"/>
                <w:szCs w:val="18"/>
              </w:rPr>
              <w:t>1,35</w:t>
            </w:r>
          </w:p>
        </w:tc>
        <w:tc>
          <w:tcPr>
            <w:tcW w:w="945" w:type="dxa"/>
            <w:tcBorders>
              <w:top w:val="nil"/>
              <w:left w:val="nil"/>
              <w:bottom w:val="single" w:sz="4" w:space="0" w:color="auto"/>
              <w:right w:val="single" w:sz="4" w:space="0" w:color="auto"/>
            </w:tcBorders>
            <w:shd w:val="clear" w:color="000000" w:fill="F2F2F2"/>
            <w:noWrap/>
            <w:vAlign w:val="center"/>
            <w:hideMark/>
          </w:tcPr>
          <w:p w14:paraId="3D48599F" w14:textId="77777777" w:rsidR="005E4CF6" w:rsidRPr="00214BBF" w:rsidRDefault="005E4CF6" w:rsidP="005F534C">
            <w:pPr>
              <w:jc w:val="center"/>
              <w:rPr>
                <w:b/>
                <w:bCs/>
                <w:color w:val="000000"/>
                <w:sz w:val="18"/>
                <w:szCs w:val="18"/>
              </w:rPr>
            </w:pPr>
            <w:r w:rsidRPr="00214BBF">
              <w:rPr>
                <w:b/>
                <w:bCs/>
                <w:color w:val="000000"/>
                <w:sz w:val="18"/>
                <w:szCs w:val="18"/>
              </w:rPr>
              <w:t>0,24</w:t>
            </w:r>
          </w:p>
        </w:tc>
        <w:tc>
          <w:tcPr>
            <w:tcW w:w="997" w:type="dxa"/>
            <w:tcBorders>
              <w:top w:val="nil"/>
              <w:left w:val="nil"/>
              <w:bottom w:val="single" w:sz="4" w:space="0" w:color="auto"/>
              <w:right w:val="single" w:sz="8" w:space="0" w:color="auto"/>
            </w:tcBorders>
            <w:shd w:val="clear" w:color="000000" w:fill="F2F2F2"/>
            <w:noWrap/>
            <w:vAlign w:val="center"/>
            <w:hideMark/>
          </w:tcPr>
          <w:p w14:paraId="1BA2EB86" w14:textId="77777777" w:rsidR="005E4CF6" w:rsidRPr="00214BBF" w:rsidRDefault="005E4CF6" w:rsidP="005F534C">
            <w:pPr>
              <w:jc w:val="center"/>
              <w:rPr>
                <w:b/>
                <w:bCs/>
                <w:color w:val="000000"/>
                <w:sz w:val="18"/>
                <w:szCs w:val="18"/>
              </w:rPr>
            </w:pPr>
            <w:r w:rsidRPr="00214BBF">
              <w:rPr>
                <w:b/>
                <w:bCs/>
                <w:color w:val="000000"/>
                <w:sz w:val="18"/>
                <w:szCs w:val="18"/>
              </w:rPr>
              <w:t>5,48</w:t>
            </w:r>
          </w:p>
        </w:tc>
      </w:tr>
      <w:tr w:rsidR="005E4CF6" w:rsidRPr="00214BBF" w14:paraId="1789BD6B" w14:textId="77777777" w:rsidTr="005F534C">
        <w:trPr>
          <w:trHeight w:val="276"/>
        </w:trPr>
        <w:tc>
          <w:tcPr>
            <w:tcW w:w="4855"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27EBE377" w14:textId="77777777" w:rsidR="005E4CF6" w:rsidRPr="00214BBF" w:rsidRDefault="005E4CF6" w:rsidP="005F534C">
            <w:pPr>
              <w:jc w:val="both"/>
              <w:rPr>
                <w:b/>
                <w:bCs/>
                <w:color w:val="000000"/>
                <w:sz w:val="18"/>
                <w:szCs w:val="18"/>
              </w:rPr>
            </w:pPr>
            <w:r w:rsidRPr="00214BBF">
              <w:rPr>
                <w:b/>
                <w:bCs/>
                <w:color w:val="000000"/>
                <w:sz w:val="18"/>
                <w:szCs w:val="18"/>
              </w:rPr>
              <w:t>Koreguota Pajamų bazinio lygio pastovioji dalis</w:t>
            </w:r>
          </w:p>
        </w:tc>
        <w:tc>
          <w:tcPr>
            <w:tcW w:w="785" w:type="dxa"/>
            <w:tcBorders>
              <w:top w:val="nil"/>
              <w:left w:val="nil"/>
              <w:bottom w:val="single" w:sz="4" w:space="0" w:color="auto"/>
              <w:right w:val="single" w:sz="4" w:space="0" w:color="auto"/>
            </w:tcBorders>
            <w:shd w:val="clear" w:color="000000" w:fill="F2F2F2"/>
            <w:noWrap/>
            <w:vAlign w:val="center"/>
            <w:hideMark/>
          </w:tcPr>
          <w:p w14:paraId="1F821A28" w14:textId="77777777" w:rsidR="005E4CF6" w:rsidRPr="00214BBF" w:rsidRDefault="005E4CF6" w:rsidP="005F534C">
            <w:pPr>
              <w:jc w:val="center"/>
              <w:rPr>
                <w:b/>
                <w:bCs/>
                <w:color w:val="000000"/>
                <w:sz w:val="18"/>
                <w:szCs w:val="18"/>
              </w:rPr>
            </w:pPr>
            <w:r w:rsidRPr="00214BBF">
              <w:rPr>
                <w:b/>
                <w:bCs/>
                <w:color w:val="000000"/>
                <w:sz w:val="18"/>
                <w:szCs w:val="18"/>
              </w:rPr>
              <w:t>Eur</w:t>
            </w:r>
          </w:p>
        </w:tc>
        <w:tc>
          <w:tcPr>
            <w:tcW w:w="1023" w:type="dxa"/>
            <w:tcBorders>
              <w:top w:val="nil"/>
              <w:left w:val="nil"/>
              <w:bottom w:val="single" w:sz="4" w:space="0" w:color="auto"/>
              <w:right w:val="single" w:sz="4" w:space="0" w:color="auto"/>
            </w:tcBorders>
            <w:shd w:val="clear" w:color="000000" w:fill="F2F2F2"/>
            <w:noWrap/>
            <w:vAlign w:val="center"/>
            <w:hideMark/>
          </w:tcPr>
          <w:p w14:paraId="5D3246C6" w14:textId="77777777" w:rsidR="005E4CF6" w:rsidRPr="00214BBF" w:rsidRDefault="005E4CF6" w:rsidP="005F534C">
            <w:pPr>
              <w:jc w:val="center"/>
              <w:rPr>
                <w:b/>
                <w:bCs/>
                <w:color w:val="000000"/>
                <w:sz w:val="18"/>
                <w:szCs w:val="18"/>
              </w:rPr>
            </w:pPr>
            <w:r w:rsidRPr="00214BBF">
              <w:rPr>
                <w:b/>
                <w:bCs/>
                <w:color w:val="000000"/>
                <w:sz w:val="18"/>
                <w:szCs w:val="18"/>
              </w:rPr>
              <w:t>1 631 872</w:t>
            </w:r>
          </w:p>
        </w:tc>
        <w:tc>
          <w:tcPr>
            <w:tcW w:w="1044" w:type="dxa"/>
            <w:tcBorders>
              <w:top w:val="nil"/>
              <w:left w:val="nil"/>
              <w:bottom w:val="single" w:sz="4" w:space="0" w:color="auto"/>
              <w:right w:val="single" w:sz="4" w:space="0" w:color="auto"/>
            </w:tcBorders>
            <w:shd w:val="clear" w:color="000000" w:fill="F2F2F2"/>
            <w:noWrap/>
            <w:vAlign w:val="center"/>
            <w:hideMark/>
          </w:tcPr>
          <w:p w14:paraId="6CD1F664" w14:textId="77777777" w:rsidR="005E4CF6" w:rsidRPr="00214BBF" w:rsidRDefault="005E4CF6" w:rsidP="005F534C">
            <w:pPr>
              <w:jc w:val="center"/>
              <w:rPr>
                <w:b/>
                <w:bCs/>
                <w:color w:val="000000"/>
                <w:sz w:val="18"/>
                <w:szCs w:val="18"/>
              </w:rPr>
            </w:pPr>
            <w:r w:rsidRPr="00214BBF">
              <w:rPr>
                <w:b/>
                <w:bCs/>
                <w:color w:val="000000"/>
                <w:sz w:val="18"/>
                <w:szCs w:val="18"/>
              </w:rPr>
              <w:t>475 502</w:t>
            </w:r>
          </w:p>
        </w:tc>
        <w:tc>
          <w:tcPr>
            <w:tcW w:w="945" w:type="dxa"/>
            <w:tcBorders>
              <w:top w:val="nil"/>
              <w:left w:val="nil"/>
              <w:bottom w:val="single" w:sz="4" w:space="0" w:color="auto"/>
              <w:right w:val="single" w:sz="4" w:space="0" w:color="auto"/>
            </w:tcBorders>
            <w:shd w:val="clear" w:color="000000" w:fill="F2F2F2"/>
            <w:noWrap/>
            <w:vAlign w:val="center"/>
            <w:hideMark/>
          </w:tcPr>
          <w:p w14:paraId="4DE639B6" w14:textId="77777777" w:rsidR="005E4CF6" w:rsidRPr="00214BBF" w:rsidRDefault="005E4CF6" w:rsidP="005F534C">
            <w:pPr>
              <w:jc w:val="center"/>
              <w:rPr>
                <w:b/>
                <w:bCs/>
                <w:color w:val="000000"/>
                <w:sz w:val="18"/>
                <w:szCs w:val="18"/>
              </w:rPr>
            </w:pPr>
            <w:r w:rsidRPr="00214BBF">
              <w:rPr>
                <w:b/>
                <w:bCs/>
                <w:color w:val="000000"/>
                <w:sz w:val="18"/>
                <w:szCs w:val="18"/>
              </w:rPr>
              <w:t>84 545</w:t>
            </w:r>
          </w:p>
        </w:tc>
        <w:tc>
          <w:tcPr>
            <w:tcW w:w="997" w:type="dxa"/>
            <w:tcBorders>
              <w:top w:val="nil"/>
              <w:left w:val="nil"/>
              <w:bottom w:val="single" w:sz="4" w:space="0" w:color="auto"/>
              <w:right w:val="single" w:sz="8" w:space="0" w:color="auto"/>
            </w:tcBorders>
            <w:shd w:val="clear" w:color="000000" w:fill="F2F2F2"/>
            <w:noWrap/>
            <w:vAlign w:val="center"/>
            <w:hideMark/>
          </w:tcPr>
          <w:p w14:paraId="1440DDCD" w14:textId="77777777" w:rsidR="005E4CF6" w:rsidRPr="00214BBF" w:rsidRDefault="005E4CF6" w:rsidP="005F534C">
            <w:pPr>
              <w:jc w:val="center"/>
              <w:rPr>
                <w:b/>
                <w:bCs/>
                <w:color w:val="000000"/>
                <w:sz w:val="18"/>
                <w:szCs w:val="18"/>
              </w:rPr>
            </w:pPr>
            <w:r w:rsidRPr="00214BBF">
              <w:rPr>
                <w:b/>
                <w:bCs/>
                <w:color w:val="000000"/>
                <w:sz w:val="18"/>
                <w:szCs w:val="18"/>
              </w:rPr>
              <w:t>2 191 919</w:t>
            </w:r>
          </w:p>
        </w:tc>
      </w:tr>
      <w:tr w:rsidR="005E4CF6" w:rsidRPr="00214BBF" w14:paraId="4D7E56CD" w14:textId="77777777" w:rsidTr="005F534C">
        <w:trPr>
          <w:trHeight w:val="276"/>
        </w:trPr>
        <w:tc>
          <w:tcPr>
            <w:tcW w:w="4855" w:type="dxa"/>
            <w:gridSpan w:val="2"/>
            <w:tcBorders>
              <w:top w:val="single" w:sz="4" w:space="0" w:color="auto"/>
              <w:left w:val="single" w:sz="8" w:space="0" w:color="auto"/>
              <w:bottom w:val="single" w:sz="4" w:space="0" w:color="auto"/>
              <w:right w:val="single" w:sz="4" w:space="0" w:color="auto"/>
            </w:tcBorders>
            <w:noWrap/>
            <w:vAlign w:val="center"/>
            <w:hideMark/>
          </w:tcPr>
          <w:p w14:paraId="1A347157" w14:textId="77777777" w:rsidR="005E4CF6" w:rsidRPr="00214BBF" w:rsidRDefault="005E4CF6" w:rsidP="005F534C">
            <w:pPr>
              <w:ind w:firstLineChars="400" w:firstLine="720"/>
              <w:rPr>
                <w:color w:val="000000"/>
                <w:sz w:val="18"/>
                <w:szCs w:val="18"/>
              </w:rPr>
            </w:pPr>
            <w:r w:rsidRPr="00214BBF">
              <w:rPr>
                <w:color w:val="000000"/>
                <w:sz w:val="18"/>
                <w:szCs w:val="18"/>
              </w:rPr>
              <w:t>tame sk. pastoviosios sąnaudos</w:t>
            </w:r>
          </w:p>
        </w:tc>
        <w:tc>
          <w:tcPr>
            <w:tcW w:w="785" w:type="dxa"/>
            <w:tcBorders>
              <w:top w:val="nil"/>
              <w:left w:val="nil"/>
              <w:bottom w:val="single" w:sz="4" w:space="0" w:color="auto"/>
              <w:right w:val="single" w:sz="4" w:space="0" w:color="auto"/>
            </w:tcBorders>
            <w:noWrap/>
            <w:vAlign w:val="center"/>
            <w:hideMark/>
          </w:tcPr>
          <w:p w14:paraId="68ECC44F" w14:textId="77777777" w:rsidR="005E4CF6" w:rsidRPr="00214BBF" w:rsidRDefault="005E4CF6" w:rsidP="005F534C">
            <w:pPr>
              <w:jc w:val="center"/>
              <w:rPr>
                <w:color w:val="000000"/>
                <w:sz w:val="18"/>
                <w:szCs w:val="18"/>
              </w:rPr>
            </w:pPr>
            <w:r w:rsidRPr="00214BBF">
              <w:rPr>
                <w:color w:val="000000"/>
                <w:sz w:val="18"/>
                <w:szCs w:val="18"/>
              </w:rPr>
              <w:t>Eur</w:t>
            </w:r>
          </w:p>
        </w:tc>
        <w:tc>
          <w:tcPr>
            <w:tcW w:w="1023" w:type="dxa"/>
            <w:tcBorders>
              <w:top w:val="nil"/>
              <w:left w:val="nil"/>
              <w:bottom w:val="single" w:sz="4" w:space="0" w:color="auto"/>
              <w:right w:val="single" w:sz="4" w:space="0" w:color="auto"/>
            </w:tcBorders>
            <w:noWrap/>
            <w:vAlign w:val="center"/>
            <w:hideMark/>
          </w:tcPr>
          <w:p w14:paraId="5E340342" w14:textId="77777777" w:rsidR="005E4CF6" w:rsidRPr="00214BBF" w:rsidRDefault="005E4CF6" w:rsidP="005F534C">
            <w:pPr>
              <w:jc w:val="center"/>
              <w:rPr>
                <w:color w:val="000000"/>
                <w:sz w:val="18"/>
                <w:szCs w:val="18"/>
              </w:rPr>
            </w:pPr>
            <w:r w:rsidRPr="00214BBF">
              <w:rPr>
                <w:color w:val="000000"/>
                <w:sz w:val="18"/>
                <w:szCs w:val="18"/>
              </w:rPr>
              <w:t>1 458 501</w:t>
            </w:r>
          </w:p>
        </w:tc>
        <w:tc>
          <w:tcPr>
            <w:tcW w:w="1044" w:type="dxa"/>
            <w:tcBorders>
              <w:top w:val="nil"/>
              <w:left w:val="nil"/>
              <w:bottom w:val="single" w:sz="4" w:space="0" w:color="auto"/>
              <w:right w:val="single" w:sz="4" w:space="0" w:color="auto"/>
            </w:tcBorders>
            <w:noWrap/>
            <w:vAlign w:val="center"/>
            <w:hideMark/>
          </w:tcPr>
          <w:p w14:paraId="0C6DDEC9" w14:textId="77777777" w:rsidR="005E4CF6" w:rsidRPr="00214BBF" w:rsidRDefault="005E4CF6" w:rsidP="005F534C">
            <w:pPr>
              <w:jc w:val="center"/>
              <w:rPr>
                <w:color w:val="000000"/>
                <w:sz w:val="18"/>
                <w:szCs w:val="18"/>
              </w:rPr>
            </w:pPr>
            <w:r w:rsidRPr="00214BBF">
              <w:rPr>
                <w:color w:val="000000"/>
                <w:sz w:val="18"/>
                <w:szCs w:val="18"/>
              </w:rPr>
              <w:t>399 982</w:t>
            </w:r>
          </w:p>
        </w:tc>
        <w:tc>
          <w:tcPr>
            <w:tcW w:w="945" w:type="dxa"/>
            <w:tcBorders>
              <w:top w:val="nil"/>
              <w:left w:val="nil"/>
              <w:bottom w:val="single" w:sz="4" w:space="0" w:color="auto"/>
              <w:right w:val="single" w:sz="4" w:space="0" w:color="auto"/>
            </w:tcBorders>
            <w:noWrap/>
            <w:vAlign w:val="center"/>
            <w:hideMark/>
          </w:tcPr>
          <w:p w14:paraId="6E087665" w14:textId="77777777" w:rsidR="005E4CF6" w:rsidRPr="00214BBF" w:rsidRDefault="005E4CF6" w:rsidP="005F534C">
            <w:pPr>
              <w:jc w:val="center"/>
              <w:rPr>
                <w:color w:val="000000"/>
                <w:sz w:val="18"/>
                <w:szCs w:val="18"/>
              </w:rPr>
            </w:pPr>
            <w:r w:rsidRPr="00214BBF">
              <w:rPr>
                <w:color w:val="000000"/>
                <w:sz w:val="18"/>
                <w:szCs w:val="18"/>
              </w:rPr>
              <w:t>78 881</w:t>
            </w:r>
          </w:p>
        </w:tc>
        <w:tc>
          <w:tcPr>
            <w:tcW w:w="997" w:type="dxa"/>
            <w:tcBorders>
              <w:top w:val="nil"/>
              <w:left w:val="nil"/>
              <w:bottom w:val="single" w:sz="4" w:space="0" w:color="auto"/>
              <w:right w:val="single" w:sz="8" w:space="0" w:color="auto"/>
            </w:tcBorders>
            <w:noWrap/>
            <w:vAlign w:val="center"/>
            <w:hideMark/>
          </w:tcPr>
          <w:p w14:paraId="55B2F56E" w14:textId="77777777" w:rsidR="005E4CF6" w:rsidRPr="00214BBF" w:rsidRDefault="005E4CF6" w:rsidP="005F534C">
            <w:pPr>
              <w:jc w:val="center"/>
              <w:rPr>
                <w:color w:val="000000"/>
                <w:sz w:val="18"/>
                <w:szCs w:val="18"/>
              </w:rPr>
            </w:pPr>
            <w:r w:rsidRPr="00214BBF">
              <w:rPr>
                <w:color w:val="000000"/>
                <w:sz w:val="18"/>
                <w:szCs w:val="18"/>
              </w:rPr>
              <w:t>1 937 365</w:t>
            </w:r>
          </w:p>
        </w:tc>
      </w:tr>
      <w:tr w:rsidR="005E4CF6" w:rsidRPr="00214BBF" w14:paraId="621ABD78" w14:textId="77777777" w:rsidTr="005F534C">
        <w:trPr>
          <w:trHeight w:val="276"/>
        </w:trPr>
        <w:tc>
          <w:tcPr>
            <w:tcW w:w="4855" w:type="dxa"/>
            <w:gridSpan w:val="2"/>
            <w:tcBorders>
              <w:top w:val="single" w:sz="4" w:space="0" w:color="auto"/>
              <w:left w:val="single" w:sz="8" w:space="0" w:color="auto"/>
              <w:bottom w:val="single" w:sz="4" w:space="0" w:color="auto"/>
              <w:right w:val="single" w:sz="4" w:space="0" w:color="auto"/>
            </w:tcBorders>
            <w:noWrap/>
            <w:vAlign w:val="center"/>
            <w:hideMark/>
          </w:tcPr>
          <w:p w14:paraId="02D4C826" w14:textId="77777777" w:rsidR="005E4CF6" w:rsidRPr="00214BBF" w:rsidRDefault="005E4CF6" w:rsidP="005F534C">
            <w:pPr>
              <w:ind w:firstLineChars="400" w:firstLine="720"/>
              <w:rPr>
                <w:color w:val="000000"/>
                <w:sz w:val="18"/>
                <w:szCs w:val="18"/>
              </w:rPr>
            </w:pPr>
            <w:r w:rsidRPr="00214BBF">
              <w:rPr>
                <w:color w:val="000000"/>
                <w:sz w:val="18"/>
                <w:szCs w:val="18"/>
              </w:rPr>
              <w:t>investicijų grąža</w:t>
            </w:r>
          </w:p>
        </w:tc>
        <w:tc>
          <w:tcPr>
            <w:tcW w:w="785" w:type="dxa"/>
            <w:tcBorders>
              <w:top w:val="single" w:sz="4" w:space="0" w:color="auto"/>
              <w:left w:val="nil"/>
              <w:bottom w:val="single" w:sz="4" w:space="0" w:color="auto"/>
              <w:right w:val="single" w:sz="4" w:space="0" w:color="auto"/>
            </w:tcBorders>
            <w:noWrap/>
            <w:vAlign w:val="center"/>
            <w:hideMark/>
          </w:tcPr>
          <w:p w14:paraId="380F0CD5" w14:textId="77777777" w:rsidR="005E4CF6" w:rsidRPr="00214BBF" w:rsidRDefault="005E4CF6" w:rsidP="005F534C">
            <w:pPr>
              <w:jc w:val="center"/>
              <w:rPr>
                <w:color w:val="000000"/>
                <w:sz w:val="18"/>
                <w:szCs w:val="18"/>
              </w:rPr>
            </w:pPr>
            <w:r w:rsidRPr="00214BBF">
              <w:rPr>
                <w:color w:val="000000"/>
                <w:sz w:val="18"/>
                <w:szCs w:val="18"/>
              </w:rPr>
              <w:t>Eur</w:t>
            </w:r>
          </w:p>
        </w:tc>
        <w:tc>
          <w:tcPr>
            <w:tcW w:w="1023" w:type="dxa"/>
            <w:tcBorders>
              <w:top w:val="single" w:sz="4" w:space="0" w:color="auto"/>
              <w:left w:val="nil"/>
              <w:bottom w:val="single" w:sz="4" w:space="0" w:color="auto"/>
              <w:right w:val="single" w:sz="4" w:space="0" w:color="auto"/>
            </w:tcBorders>
            <w:noWrap/>
            <w:vAlign w:val="center"/>
            <w:hideMark/>
          </w:tcPr>
          <w:p w14:paraId="346C159B" w14:textId="77777777" w:rsidR="005E4CF6" w:rsidRPr="00214BBF" w:rsidRDefault="005E4CF6" w:rsidP="005F534C">
            <w:pPr>
              <w:jc w:val="center"/>
              <w:rPr>
                <w:color w:val="000000"/>
                <w:sz w:val="18"/>
                <w:szCs w:val="18"/>
              </w:rPr>
            </w:pPr>
            <w:r w:rsidRPr="00214BBF">
              <w:rPr>
                <w:color w:val="000000"/>
                <w:sz w:val="18"/>
                <w:szCs w:val="18"/>
              </w:rPr>
              <w:t>173 371</w:t>
            </w:r>
          </w:p>
        </w:tc>
        <w:tc>
          <w:tcPr>
            <w:tcW w:w="1044" w:type="dxa"/>
            <w:tcBorders>
              <w:top w:val="single" w:sz="4" w:space="0" w:color="auto"/>
              <w:left w:val="nil"/>
              <w:bottom w:val="single" w:sz="4" w:space="0" w:color="auto"/>
              <w:right w:val="single" w:sz="4" w:space="0" w:color="auto"/>
            </w:tcBorders>
            <w:noWrap/>
            <w:vAlign w:val="center"/>
            <w:hideMark/>
          </w:tcPr>
          <w:p w14:paraId="3185BE11" w14:textId="77777777" w:rsidR="005E4CF6" w:rsidRPr="00214BBF" w:rsidRDefault="005E4CF6" w:rsidP="005F534C">
            <w:pPr>
              <w:jc w:val="center"/>
              <w:rPr>
                <w:color w:val="000000"/>
                <w:sz w:val="18"/>
                <w:szCs w:val="18"/>
              </w:rPr>
            </w:pPr>
            <w:r w:rsidRPr="00214BBF">
              <w:rPr>
                <w:color w:val="000000"/>
                <w:sz w:val="18"/>
                <w:szCs w:val="18"/>
              </w:rPr>
              <w:t>75 520</w:t>
            </w:r>
          </w:p>
        </w:tc>
        <w:tc>
          <w:tcPr>
            <w:tcW w:w="945" w:type="dxa"/>
            <w:tcBorders>
              <w:top w:val="single" w:sz="4" w:space="0" w:color="auto"/>
              <w:left w:val="nil"/>
              <w:bottom w:val="single" w:sz="4" w:space="0" w:color="auto"/>
              <w:right w:val="single" w:sz="4" w:space="0" w:color="auto"/>
            </w:tcBorders>
            <w:noWrap/>
            <w:vAlign w:val="center"/>
            <w:hideMark/>
          </w:tcPr>
          <w:p w14:paraId="72D95515" w14:textId="77777777" w:rsidR="005E4CF6" w:rsidRPr="00214BBF" w:rsidRDefault="005E4CF6" w:rsidP="005F534C">
            <w:pPr>
              <w:jc w:val="center"/>
              <w:rPr>
                <w:color w:val="000000"/>
                <w:sz w:val="18"/>
                <w:szCs w:val="18"/>
              </w:rPr>
            </w:pPr>
            <w:r w:rsidRPr="00214BBF">
              <w:rPr>
                <w:color w:val="000000"/>
                <w:sz w:val="18"/>
                <w:szCs w:val="18"/>
              </w:rPr>
              <w:t>5 664</w:t>
            </w:r>
          </w:p>
        </w:tc>
        <w:tc>
          <w:tcPr>
            <w:tcW w:w="997" w:type="dxa"/>
            <w:tcBorders>
              <w:top w:val="single" w:sz="4" w:space="0" w:color="auto"/>
              <w:left w:val="nil"/>
              <w:bottom w:val="single" w:sz="4" w:space="0" w:color="auto"/>
              <w:right w:val="single" w:sz="8" w:space="0" w:color="auto"/>
            </w:tcBorders>
            <w:noWrap/>
            <w:vAlign w:val="center"/>
            <w:hideMark/>
          </w:tcPr>
          <w:p w14:paraId="16A20EB4" w14:textId="77777777" w:rsidR="005E4CF6" w:rsidRPr="00214BBF" w:rsidRDefault="005E4CF6" w:rsidP="005F534C">
            <w:pPr>
              <w:jc w:val="center"/>
              <w:rPr>
                <w:color w:val="000000"/>
                <w:sz w:val="18"/>
                <w:szCs w:val="18"/>
              </w:rPr>
            </w:pPr>
            <w:r w:rsidRPr="00214BBF">
              <w:rPr>
                <w:color w:val="000000"/>
                <w:sz w:val="18"/>
                <w:szCs w:val="18"/>
              </w:rPr>
              <w:t>254 554</w:t>
            </w:r>
          </w:p>
        </w:tc>
      </w:tr>
    </w:tbl>
    <w:p w14:paraId="36E399A2" w14:textId="77777777" w:rsidR="005E4CF6" w:rsidRPr="002C5EDA" w:rsidRDefault="005E4CF6" w:rsidP="005E4CF6">
      <w:pPr>
        <w:tabs>
          <w:tab w:val="left" w:pos="1134"/>
          <w:tab w:val="left" w:pos="1418"/>
        </w:tabs>
        <w:ind w:firstLine="720"/>
        <w:jc w:val="both"/>
      </w:pPr>
      <w:r w:rsidRPr="002C5EDA">
        <w:t xml:space="preserve">Perskaičiuota Pajamų bazinio lygio šilumos kainos pastovioji dedamoji </w:t>
      </w:r>
      <w:r>
        <w:t>sudaro</w:t>
      </w:r>
      <w:r w:rsidRPr="002C5EDA">
        <w:t xml:space="preserve"> 5,48 ct/kWh ir yra 0,24 ct/kWh didesnė nei nustatyta Pajamų baziniame lygyje. </w:t>
      </w:r>
    </w:p>
    <w:p w14:paraId="5489AB0D" w14:textId="77777777" w:rsidR="005E4CF6" w:rsidRPr="00A03FF9" w:rsidRDefault="005E4CF6" w:rsidP="005E4CF6">
      <w:pPr>
        <w:pStyle w:val="Pagrindiniotekstotrauka"/>
        <w:tabs>
          <w:tab w:val="left" w:pos="990"/>
          <w:tab w:val="left" w:pos="1260"/>
          <w:tab w:val="left" w:pos="1440"/>
          <w:tab w:val="left" w:pos="1710"/>
        </w:tabs>
        <w:rPr>
          <w:i/>
          <w:iCs/>
          <w:szCs w:val="24"/>
        </w:rPr>
      </w:pPr>
    </w:p>
    <w:p w14:paraId="4073EB56" w14:textId="77777777" w:rsidR="005E4CF6" w:rsidRPr="00A03FF9" w:rsidRDefault="005E4CF6" w:rsidP="005E4CF6">
      <w:pPr>
        <w:pStyle w:val="Pagrindiniotekstotrauka"/>
        <w:tabs>
          <w:tab w:val="left" w:pos="990"/>
          <w:tab w:val="left" w:pos="1260"/>
          <w:tab w:val="left" w:pos="1440"/>
          <w:tab w:val="left" w:pos="1710"/>
        </w:tabs>
        <w:rPr>
          <w:i/>
          <w:iCs/>
          <w:szCs w:val="24"/>
        </w:rPr>
      </w:pPr>
      <w:r>
        <w:rPr>
          <w:i/>
          <w:iCs/>
          <w:szCs w:val="24"/>
        </w:rPr>
        <w:t>P</w:t>
      </w:r>
      <w:r w:rsidRPr="00A03FF9">
        <w:rPr>
          <w:i/>
          <w:iCs/>
          <w:szCs w:val="24"/>
        </w:rPr>
        <w:t>ajamų bazinio lygio kintamosios dalies koregavimas</w:t>
      </w:r>
    </w:p>
    <w:p w14:paraId="3A18255F" w14:textId="77777777" w:rsidR="005E4CF6" w:rsidRPr="00906CA5" w:rsidRDefault="005E4CF6" w:rsidP="005E4CF6">
      <w:pPr>
        <w:pStyle w:val="Pagrindiniotekstotrauka"/>
        <w:tabs>
          <w:tab w:val="left" w:pos="990"/>
          <w:tab w:val="left" w:pos="1260"/>
          <w:tab w:val="left" w:pos="1440"/>
          <w:tab w:val="left" w:pos="1710"/>
        </w:tabs>
        <w:rPr>
          <w:bCs/>
          <w:iCs/>
          <w:szCs w:val="24"/>
        </w:rPr>
      </w:pPr>
      <w:r w:rsidRPr="00906CA5">
        <w:rPr>
          <w:bCs/>
          <w:iCs/>
        </w:rPr>
        <w:t xml:space="preserve">Pajamų bazinio lygio </w:t>
      </w:r>
      <w:r w:rsidRPr="00A03FF9">
        <w:rPr>
          <w:bCs/>
          <w:iCs/>
        </w:rPr>
        <w:t>kintamosios dalies</w:t>
      </w:r>
      <w:r w:rsidRPr="00906CA5">
        <w:rPr>
          <w:bCs/>
          <w:iCs/>
        </w:rPr>
        <w:t xml:space="preserve"> koregavimas</w:t>
      </w:r>
      <w:r>
        <w:rPr>
          <w:bCs/>
          <w:iCs/>
        </w:rPr>
        <w:t xml:space="preserve"> </w:t>
      </w:r>
      <w:r>
        <w:rPr>
          <w:rFonts w:eastAsia="TimesNewRomanPSMT"/>
        </w:rPr>
        <w:t>atliekama</w:t>
      </w:r>
      <w:r w:rsidRPr="00104E30">
        <w:rPr>
          <w:rFonts w:eastAsia="TimesNewRomanPSMT"/>
        </w:rPr>
        <w:t xml:space="preserve">s vadovaujantis </w:t>
      </w:r>
      <w:r w:rsidRPr="00147BAB">
        <w:t xml:space="preserve">Šilumos kainų nustatymo </w:t>
      </w:r>
      <w:r>
        <w:t>m</w:t>
      </w:r>
      <w:r w:rsidRPr="00104E30">
        <w:rPr>
          <w:rFonts w:eastAsia="TimesNewRomanPSMT"/>
        </w:rPr>
        <w:t>etodikos 7</w:t>
      </w:r>
      <w:r>
        <w:rPr>
          <w:rFonts w:eastAsia="TimesNewRomanPSMT"/>
        </w:rPr>
        <w:t>2</w:t>
      </w:r>
      <w:r w:rsidRPr="00104E30">
        <w:rPr>
          <w:rFonts w:eastAsia="TimesNewRomanPSMT"/>
        </w:rPr>
        <w:t xml:space="preserve"> punktu</w:t>
      </w:r>
      <w:r>
        <w:rPr>
          <w:rFonts w:eastAsia="TimesNewRomanPSMT"/>
        </w:rPr>
        <w:t>.</w:t>
      </w:r>
    </w:p>
    <w:p w14:paraId="4B5E9344" w14:textId="77777777" w:rsidR="005E4CF6" w:rsidRDefault="005E4CF6" w:rsidP="005E4CF6">
      <w:pPr>
        <w:autoSpaceDE w:val="0"/>
        <w:autoSpaceDN w:val="0"/>
        <w:adjustRightInd w:val="0"/>
        <w:ind w:firstLine="720"/>
        <w:jc w:val="both"/>
      </w:pPr>
      <w:r>
        <w:t>Bendrovės apskaičiuotas kintamųjų sąnaudų pokytis pateiktas 2 lentelėje.</w:t>
      </w:r>
    </w:p>
    <w:p w14:paraId="064464CF" w14:textId="77777777" w:rsidR="005E4CF6" w:rsidRDefault="005E4CF6" w:rsidP="005E4CF6">
      <w:pPr>
        <w:autoSpaceDE w:val="0"/>
        <w:autoSpaceDN w:val="0"/>
        <w:adjustRightInd w:val="0"/>
        <w:jc w:val="both"/>
      </w:pPr>
      <w:r>
        <w:t xml:space="preserve">2 lentelė. Kintamųjų sąnaudų pokytis, </w:t>
      </w:r>
      <w:r w:rsidRPr="00F06B71">
        <w:t>Eur</w:t>
      </w:r>
    </w:p>
    <w:tbl>
      <w:tblPr>
        <w:tblW w:w="9380" w:type="dxa"/>
        <w:tblInd w:w="113" w:type="dxa"/>
        <w:tblLook w:val="04A0" w:firstRow="1" w:lastRow="0" w:firstColumn="1" w:lastColumn="0" w:noHBand="0" w:noVBand="1"/>
      </w:tblPr>
      <w:tblGrid>
        <w:gridCol w:w="680"/>
        <w:gridCol w:w="4305"/>
        <w:gridCol w:w="1701"/>
        <w:gridCol w:w="1560"/>
        <w:gridCol w:w="1134"/>
      </w:tblGrid>
      <w:tr w:rsidR="005E4CF6" w14:paraId="46BF4858" w14:textId="77777777" w:rsidTr="005F534C">
        <w:trPr>
          <w:trHeight w:val="535"/>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08DC0928" w14:textId="77777777" w:rsidR="005E4CF6" w:rsidRDefault="005E4CF6" w:rsidP="005F534C">
            <w:pPr>
              <w:jc w:val="center"/>
              <w:rPr>
                <w:color w:val="000000"/>
                <w:sz w:val="20"/>
                <w:szCs w:val="20"/>
                <w:lang w:val="en-US"/>
              </w:rPr>
            </w:pPr>
            <w:r>
              <w:rPr>
                <w:color w:val="000000"/>
                <w:sz w:val="20"/>
                <w:szCs w:val="20"/>
              </w:rPr>
              <w:t>Eil. Nr.</w:t>
            </w:r>
          </w:p>
        </w:tc>
        <w:tc>
          <w:tcPr>
            <w:tcW w:w="4305" w:type="dxa"/>
            <w:tcBorders>
              <w:top w:val="single" w:sz="4" w:space="0" w:color="auto"/>
              <w:left w:val="nil"/>
              <w:bottom w:val="single" w:sz="4" w:space="0" w:color="auto"/>
              <w:right w:val="single" w:sz="4" w:space="0" w:color="auto"/>
            </w:tcBorders>
            <w:noWrap/>
            <w:vAlign w:val="center"/>
            <w:hideMark/>
          </w:tcPr>
          <w:p w14:paraId="7C580098" w14:textId="77777777" w:rsidR="005E4CF6" w:rsidRDefault="005E4CF6" w:rsidP="005F534C">
            <w:pPr>
              <w:jc w:val="center"/>
              <w:rPr>
                <w:b/>
                <w:bCs/>
                <w:color w:val="000000"/>
                <w:sz w:val="20"/>
                <w:szCs w:val="20"/>
              </w:rPr>
            </w:pPr>
            <w:r>
              <w:rPr>
                <w:b/>
                <w:bCs/>
                <w:color w:val="000000"/>
                <w:sz w:val="20"/>
                <w:szCs w:val="20"/>
              </w:rPr>
              <w:t>Rodikliai</w:t>
            </w:r>
          </w:p>
        </w:tc>
        <w:tc>
          <w:tcPr>
            <w:tcW w:w="1701" w:type="dxa"/>
            <w:tcBorders>
              <w:top w:val="single" w:sz="4" w:space="0" w:color="auto"/>
              <w:left w:val="nil"/>
              <w:bottom w:val="single" w:sz="4" w:space="0" w:color="auto"/>
              <w:right w:val="single" w:sz="4" w:space="0" w:color="auto"/>
            </w:tcBorders>
            <w:noWrap/>
            <w:vAlign w:val="center"/>
            <w:hideMark/>
          </w:tcPr>
          <w:p w14:paraId="571BC8D8" w14:textId="77777777" w:rsidR="005E4CF6" w:rsidRDefault="005E4CF6" w:rsidP="005F534C">
            <w:pPr>
              <w:jc w:val="both"/>
              <w:rPr>
                <w:color w:val="000000"/>
                <w:sz w:val="20"/>
                <w:szCs w:val="20"/>
              </w:rPr>
            </w:pPr>
            <w:r>
              <w:rPr>
                <w:color w:val="000000"/>
                <w:sz w:val="20"/>
                <w:szCs w:val="20"/>
              </w:rPr>
              <w:t>Pajamų baziniame lygyje</w:t>
            </w:r>
          </w:p>
        </w:tc>
        <w:tc>
          <w:tcPr>
            <w:tcW w:w="1560" w:type="dxa"/>
            <w:tcBorders>
              <w:top w:val="single" w:sz="4" w:space="0" w:color="auto"/>
              <w:left w:val="nil"/>
              <w:bottom w:val="single" w:sz="4" w:space="0" w:color="auto"/>
              <w:right w:val="single" w:sz="4" w:space="0" w:color="auto"/>
            </w:tcBorders>
            <w:noWrap/>
            <w:vAlign w:val="center"/>
            <w:hideMark/>
          </w:tcPr>
          <w:p w14:paraId="5FF4E999" w14:textId="77777777" w:rsidR="005E4CF6" w:rsidRDefault="005E4CF6" w:rsidP="005F534C">
            <w:pPr>
              <w:jc w:val="center"/>
              <w:rPr>
                <w:color w:val="000000"/>
                <w:sz w:val="20"/>
                <w:szCs w:val="20"/>
              </w:rPr>
            </w:pPr>
            <w:r>
              <w:rPr>
                <w:color w:val="000000"/>
                <w:sz w:val="20"/>
                <w:szCs w:val="20"/>
              </w:rPr>
              <w:t>Koreguota</w:t>
            </w:r>
          </w:p>
        </w:tc>
        <w:tc>
          <w:tcPr>
            <w:tcW w:w="1134" w:type="dxa"/>
            <w:tcBorders>
              <w:top w:val="single" w:sz="4" w:space="0" w:color="auto"/>
              <w:left w:val="nil"/>
              <w:bottom w:val="single" w:sz="4" w:space="0" w:color="auto"/>
              <w:right w:val="single" w:sz="4" w:space="0" w:color="auto"/>
            </w:tcBorders>
            <w:noWrap/>
            <w:vAlign w:val="center"/>
            <w:hideMark/>
          </w:tcPr>
          <w:p w14:paraId="51B27855" w14:textId="77777777" w:rsidR="005E4CF6" w:rsidRDefault="005E4CF6" w:rsidP="005F534C">
            <w:pPr>
              <w:jc w:val="center"/>
              <w:rPr>
                <w:color w:val="000000"/>
                <w:sz w:val="20"/>
                <w:szCs w:val="20"/>
              </w:rPr>
            </w:pPr>
            <w:r>
              <w:rPr>
                <w:color w:val="000000"/>
                <w:sz w:val="20"/>
                <w:szCs w:val="20"/>
              </w:rPr>
              <w:t>Skirtumas</w:t>
            </w:r>
          </w:p>
        </w:tc>
      </w:tr>
      <w:tr w:rsidR="005E4CF6" w14:paraId="3DC4CD0A" w14:textId="77777777" w:rsidTr="005F534C">
        <w:trPr>
          <w:trHeight w:val="535"/>
        </w:trPr>
        <w:tc>
          <w:tcPr>
            <w:tcW w:w="680" w:type="dxa"/>
            <w:tcBorders>
              <w:top w:val="nil"/>
              <w:left w:val="single" w:sz="4" w:space="0" w:color="auto"/>
              <w:bottom w:val="single" w:sz="4" w:space="0" w:color="auto"/>
              <w:right w:val="single" w:sz="4" w:space="0" w:color="auto"/>
            </w:tcBorders>
            <w:noWrap/>
            <w:vAlign w:val="center"/>
            <w:hideMark/>
          </w:tcPr>
          <w:p w14:paraId="33472E4A" w14:textId="77777777" w:rsidR="005E4CF6" w:rsidRDefault="005E4CF6" w:rsidP="005F534C">
            <w:pPr>
              <w:jc w:val="center"/>
              <w:rPr>
                <w:color w:val="000000"/>
                <w:sz w:val="20"/>
                <w:szCs w:val="20"/>
              </w:rPr>
            </w:pPr>
            <w:r>
              <w:rPr>
                <w:color w:val="000000"/>
                <w:sz w:val="20"/>
                <w:szCs w:val="20"/>
              </w:rPr>
              <w:t>1.</w:t>
            </w:r>
          </w:p>
        </w:tc>
        <w:tc>
          <w:tcPr>
            <w:tcW w:w="4305" w:type="dxa"/>
            <w:tcBorders>
              <w:top w:val="nil"/>
              <w:left w:val="nil"/>
              <w:bottom w:val="single" w:sz="4" w:space="0" w:color="auto"/>
              <w:right w:val="single" w:sz="4" w:space="0" w:color="auto"/>
            </w:tcBorders>
            <w:noWrap/>
            <w:vAlign w:val="center"/>
            <w:hideMark/>
          </w:tcPr>
          <w:p w14:paraId="4CC789F3" w14:textId="77777777" w:rsidR="005E4CF6" w:rsidRDefault="005E4CF6" w:rsidP="005F534C">
            <w:pPr>
              <w:rPr>
                <w:b/>
                <w:bCs/>
                <w:color w:val="000000"/>
                <w:sz w:val="20"/>
                <w:szCs w:val="20"/>
              </w:rPr>
            </w:pPr>
            <w:r>
              <w:rPr>
                <w:b/>
                <w:bCs/>
                <w:color w:val="000000"/>
                <w:sz w:val="20"/>
                <w:szCs w:val="20"/>
              </w:rPr>
              <w:t>Kintamųjų sąnaudų pokytis</w:t>
            </w:r>
          </w:p>
        </w:tc>
        <w:tc>
          <w:tcPr>
            <w:tcW w:w="1701" w:type="dxa"/>
            <w:tcBorders>
              <w:top w:val="nil"/>
              <w:left w:val="nil"/>
              <w:bottom w:val="single" w:sz="4" w:space="0" w:color="auto"/>
              <w:right w:val="single" w:sz="4" w:space="0" w:color="auto"/>
            </w:tcBorders>
            <w:noWrap/>
            <w:vAlign w:val="center"/>
            <w:hideMark/>
          </w:tcPr>
          <w:p w14:paraId="1E040A8B" w14:textId="77777777" w:rsidR="005E4CF6" w:rsidRPr="008F41BF" w:rsidRDefault="005E4CF6" w:rsidP="005F534C">
            <w:pPr>
              <w:jc w:val="center"/>
              <w:rPr>
                <w:b/>
                <w:bCs/>
                <w:sz w:val="20"/>
                <w:szCs w:val="20"/>
              </w:rPr>
            </w:pPr>
            <w:r w:rsidRPr="008F41BF">
              <w:rPr>
                <w:b/>
                <w:bCs/>
                <w:sz w:val="20"/>
                <w:szCs w:val="20"/>
              </w:rPr>
              <w:t>1</w:t>
            </w:r>
            <w:r>
              <w:rPr>
                <w:b/>
                <w:bCs/>
                <w:sz w:val="20"/>
                <w:szCs w:val="20"/>
              </w:rPr>
              <w:t> 714 004</w:t>
            </w:r>
          </w:p>
        </w:tc>
        <w:tc>
          <w:tcPr>
            <w:tcW w:w="1560" w:type="dxa"/>
            <w:tcBorders>
              <w:top w:val="nil"/>
              <w:left w:val="nil"/>
              <w:bottom w:val="single" w:sz="4" w:space="0" w:color="auto"/>
              <w:right w:val="single" w:sz="4" w:space="0" w:color="auto"/>
            </w:tcBorders>
            <w:noWrap/>
            <w:vAlign w:val="center"/>
            <w:hideMark/>
          </w:tcPr>
          <w:p w14:paraId="1C15331E" w14:textId="77777777" w:rsidR="005E4CF6" w:rsidRPr="008F41BF" w:rsidRDefault="005E4CF6" w:rsidP="005F534C">
            <w:pPr>
              <w:jc w:val="center"/>
              <w:rPr>
                <w:b/>
                <w:bCs/>
                <w:sz w:val="20"/>
                <w:szCs w:val="20"/>
              </w:rPr>
            </w:pPr>
            <w:r w:rsidRPr="008F41BF">
              <w:rPr>
                <w:b/>
                <w:bCs/>
                <w:sz w:val="20"/>
                <w:szCs w:val="20"/>
              </w:rPr>
              <w:t>1</w:t>
            </w:r>
            <w:r>
              <w:rPr>
                <w:b/>
                <w:bCs/>
                <w:sz w:val="20"/>
                <w:szCs w:val="20"/>
              </w:rPr>
              <w:t> 723 837</w:t>
            </w:r>
          </w:p>
        </w:tc>
        <w:tc>
          <w:tcPr>
            <w:tcW w:w="1134" w:type="dxa"/>
            <w:tcBorders>
              <w:top w:val="nil"/>
              <w:left w:val="nil"/>
              <w:bottom w:val="single" w:sz="4" w:space="0" w:color="auto"/>
              <w:right w:val="single" w:sz="4" w:space="0" w:color="auto"/>
            </w:tcBorders>
            <w:noWrap/>
            <w:vAlign w:val="center"/>
            <w:hideMark/>
          </w:tcPr>
          <w:p w14:paraId="7456B759" w14:textId="77777777" w:rsidR="005E4CF6" w:rsidRPr="008F41BF" w:rsidRDefault="005E4CF6" w:rsidP="005F534C">
            <w:pPr>
              <w:jc w:val="center"/>
              <w:rPr>
                <w:b/>
                <w:bCs/>
                <w:sz w:val="20"/>
                <w:szCs w:val="20"/>
              </w:rPr>
            </w:pPr>
            <w:r>
              <w:rPr>
                <w:b/>
                <w:bCs/>
                <w:sz w:val="20"/>
                <w:szCs w:val="20"/>
              </w:rPr>
              <w:t>9 833</w:t>
            </w:r>
          </w:p>
        </w:tc>
      </w:tr>
      <w:tr w:rsidR="005E4CF6" w14:paraId="16010844" w14:textId="77777777" w:rsidTr="005F534C">
        <w:trPr>
          <w:trHeight w:val="535"/>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41FACE47" w14:textId="77777777" w:rsidR="005E4CF6" w:rsidRDefault="005E4CF6" w:rsidP="005F534C">
            <w:pPr>
              <w:jc w:val="center"/>
              <w:rPr>
                <w:color w:val="000000"/>
                <w:sz w:val="20"/>
                <w:szCs w:val="20"/>
              </w:rPr>
            </w:pPr>
            <w:r>
              <w:rPr>
                <w:color w:val="000000"/>
                <w:sz w:val="20"/>
                <w:szCs w:val="20"/>
              </w:rPr>
              <w:lastRenderedPageBreak/>
              <w:t>1.1.</w:t>
            </w:r>
          </w:p>
        </w:tc>
        <w:tc>
          <w:tcPr>
            <w:tcW w:w="4305" w:type="dxa"/>
            <w:tcBorders>
              <w:top w:val="single" w:sz="4" w:space="0" w:color="auto"/>
              <w:left w:val="nil"/>
              <w:bottom w:val="single" w:sz="4" w:space="0" w:color="auto"/>
              <w:right w:val="single" w:sz="4" w:space="0" w:color="auto"/>
            </w:tcBorders>
            <w:noWrap/>
            <w:vAlign w:val="center"/>
            <w:hideMark/>
          </w:tcPr>
          <w:p w14:paraId="4DC844DF" w14:textId="77777777" w:rsidR="005E4CF6" w:rsidRDefault="005E4CF6" w:rsidP="005F534C">
            <w:pPr>
              <w:rPr>
                <w:color w:val="000000"/>
                <w:sz w:val="20"/>
                <w:szCs w:val="20"/>
              </w:rPr>
            </w:pPr>
            <w:r>
              <w:rPr>
                <w:color w:val="000000"/>
                <w:sz w:val="20"/>
                <w:szCs w:val="20"/>
              </w:rPr>
              <w:t>projekcinių kuro technologinėms reikmėms sąnaudų pokytis</w:t>
            </w:r>
          </w:p>
        </w:tc>
        <w:tc>
          <w:tcPr>
            <w:tcW w:w="1701" w:type="dxa"/>
            <w:tcBorders>
              <w:top w:val="single" w:sz="4" w:space="0" w:color="auto"/>
              <w:left w:val="nil"/>
              <w:bottom w:val="single" w:sz="4" w:space="0" w:color="auto"/>
              <w:right w:val="single" w:sz="4" w:space="0" w:color="auto"/>
            </w:tcBorders>
            <w:noWrap/>
            <w:vAlign w:val="center"/>
            <w:hideMark/>
          </w:tcPr>
          <w:p w14:paraId="1706F901" w14:textId="77777777" w:rsidR="005E4CF6" w:rsidRPr="008F41BF" w:rsidRDefault="005E4CF6" w:rsidP="005F534C">
            <w:pPr>
              <w:jc w:val="center"/>
              <w:rPr>
                <w:sz w:val="20"/>
                <w:szCs w:val="20"/>
              </w:rPr>
            </w:pPr>
            <w:r w:rsidRPr="008F41BF">
              <w:rPr>
                <w:sz w:val="20"/>
                <w:szCs w:val="20"/>
              </w:rPr>
              <w:t>1 124 240</w:t>
            </w:r>
          </w:p>
        </w:tc>
        <w:tc>
          <w:tcPr>
            <w:tcW w:w="1560" w:type="dxa"/>
            <w:tcBorders>
              <w:top w:val="single" w:sz="4" w:space="0" w:color="auto"/>
              <w:left w:val="nil"/>
              <w:bottom w:val="single" w:sz="4" w:space="0" w:color="auto"/>
              <w:right w:val="single" w:sz="4" w:space="0" w:color="auto"/>
            </w:tcBorders>
            <w:noWrap/>
            <w:vAlign w:val="center"/>
            <w:hideMark/>
          </w:tcPr>
          <w:p w14:paraId="018B549D" w14:textId="77777777" w:rsidR="005E4CF6" w:rsidRPr="008F41BF" w:rsidRDefault="005E4CF6" w:rsidP="005F534C">
            <w:pPr>
              <w:jc w:val="center"/>
              <w:rPr>
                <w:sz w:val="20"/>
                <w:szCs w:val="20"/>
              </w:rPr>
            </w:pPr>
            <w:r w:rsidRPr="008F41BF">
              <w:rPr>
                <w:sz w:val="20"/>
                <w:szCs w:val="20"/>
              </w:rPr>
              <w:t>1 121 487</w:t>
            </w:r>
          </w:p>
        </w:tc>
        <w:tc>
          <w:tcPr>
            <w:tcW w:w="1134" w:type="dxa"/>
            <w:tcBorders>
              <w:top w:val="single" w:sz="4" w:space="0" w:color="auto"/>
              <w:left w:val="nil"/>
              <w:bottom w:val="single" w:sz="4" w:space="0" w:color="auto"/>
              <w:right w:val="single" w:sz="4" w:space="0" w:color="auto"/>
            </w:tcBorders>
            <w:noWrap/>
            <w:vAlign w:val="center"/>
            <w:hideMark/>
          </w:tcPr>
          <w:p w14:paraId="5939B5D1" w14:textId="77777777" w:rsidR="005E4CF6" w:rsidRPr="008F41BF" w:rsidRDefault="005E4CF6" w:rsidP="005F534C">
            <w:pPr>
              <w:jc w:val="center"/>
              <w:rPr>
                <w:sz w:val="20"/>
                <w:szCs w:val="20"/>
              </w:rPr>
            </w:pPr>
            <w:r w:rsidRPr="008F41BF">
              <w:rPr>
                <w:sz w:val="20"/>
                <w:szCs w:val="20"/>
              </w:rPr>
              <w:t>-2 753</w:t>
            </w:r>
          </w:p>
        </w:tc>
      </w:tr>
      <w:tr w:rsidR="005E4CF6" w14:paraId="7BFDBCA0" w14:textId="77777777" w:rsidTr="005F534C">
        <w:trPr>
          <w:trHeight w:val="535"/>
        </w:trPr>
        <w:tc>
          <w:tcPr>
            <w:tcW w:w="680" w:type="dxa"/>
            <w:tcBorders>
              <w:top w:val="nil"/>
              <w:left w:val="single" w:sz="4" w:space="0" w:color="auto"/>
              <w:bottom w:val="single" w:sz="4" w:space="0" w:color="auto"/>
              <w:right w:val="single" w:sz="4" w:space="0" w:color="auto"/>
            </w:tcBorders>
            <w:noWrap/>
            <w:vAlign w:val="center"/>
            <w:hideMark/>
          </w:tcPr>
          <w:p w14:paraId="40A6E8E0" w14:textId="77777777" w:rsidR="005E4CF6" w:rsidRDefault="005E4CF6" w:rsidP="005F534C">
            <w:pPr>
              <w:jc w:val="center"/>
              <w:rPr>
                <w:color w:val="000000"/>
                <w:sz w:val="20"/>
                <w:szCs w:val="20"/>
              </w:rPr>
            </w:pPr>
            <w:r>
              <w:rPr>
                <w:color w:val="000000"/>
                <w:sz w:val="20"/>
                <w:szCs w:val="20"/>
              </w:rPr>
              <w:t>1.2.</w:t>
            </w:r>
          </w:p>
        </w:tc>
        <w:tc>
          <w:tcPr>
            <w:tcW w:w="4305" w:type="dxa"/>
            <w:tcBorders>
              <w:top w:val="nil"/>
              <w:left w:val="nil"/>
              <w:bottom w:val="single" w:sz="4" w:space="0" w:color="auto"/>
              <w:right w:val="single" w:sz="4" w:space="0" w:color="auto"/>
            </w:tcBorders>
            <w:noWrap/>
            <w:vAlign w:val="center"/>
            <w:hideMark/>
          </w:tcPr>
          <w:p w14:paraId="5E40C0D9" w14:textId="77777777" w:rsidR="005E4CF6" w:rsidRDefault="005E4CF6" w:rsidP="005F534C">
            <w:pPr>
              <w:rPr>
                <w:color w:val="000000"/>
                <w:sz w:val="20"/>
                <w:szCs w:val="20"/>
              </w:rPr>
            </w:pPr>
            <w:r>
              <w:rPr>
                <w:color w:val="000000"/>
                <w:sz w:val="20"/>
                <w:szCs w:val="20"/>
              </w:rPr>
              <w:t>projekcinių elektros energijos technologinėms reikmėms sąnaudų pokytis</w:t>
            </w:r>
          </w:p>
        </w:tc>
        <w:tc>
          <w:tcPr>
            <w:tcW w:w="1701" w:type="dxa"/>
            <w:tcBorders>
              <w:top w:val="nil"/>
              <w:left w:val="nil"/>
              <w:bottom w:val="single" w:sz="4" w:space="0" w:color="auto"/>
              <w:right w:val="single" w:sz="4" w:space="0" w:color="auto"/>
            </w:tcBorders>
            <w:noWrap/>
            <w:vAlign w:val="center"/>
            <w:hideMark/>
          </w:tcPr>
          <w:p w14:paraId="75333F1D" w14:textId="77777777" w:rsidR="005E4CF6" w:rsidRPr="008F41BF" w:rsidRDefault="005E4CF6" w:rsidP="005F534C">
            <w:pPr>
              <w:jc w:val="center"/>
              <w:rPr>
                <w:sz w:val="20"/>
                <w:szCs w:val="20"/>
              </w:rPr>
            </w:pPr>
            <w:r w:rsidRPr="008F41BF">
              <w:rPr>
                <w:sz w:val="20"/>
                <w:szCs w:val="20"/>
              </w:rPr>
              <w:t>125 485</w:t>
            </w:r>
          </w:p>
        </w:tc>
        <w:tc>
          <w:tcPr>
            <w:tcW w:w="1560" w:type="dxa"/>
            <w:tcBorders>
              <w:top w:val="nil"/>
              <w:left w:val="nil"/>
              <w:bottom w:val="single" w:sz="4" w:space="0" w:color="auto"/>
              <w:right w:val="single" w:sz="4" w:space="0" w:color="auto"/>
            </w:tcBorders>
            <w:noWrap/>
            <w:vAlign w:val="center"/>
            <w:hideMark/>
          </w:tcPr>
          <w:p w14:paraId="4A092628" w14:textId="77777777" w:rsidR="005E4CF6" w:rsidRPr="008F41BF" w:rsidRDefault="005E4CF6" w:rsidP="005F534C">
            <w:pPr>
              <w:jc w:val="center"/>
              <w:rPr>
                <w:sz w:val="20"/>
                <w:szCs w:val="20"/>
              </w:rPr>
            </w:pPr>
            <w:r w:rsidRPr="008F41BF">
              <w:rPr>
                <w:sz w:val="20"/>
                <w:szCs w:val="20"/>
              </w:rPr>
              <w:t>125 485</w:t>
            </w:r>
          </w:p>
        </w:tc>
        <w:tc>
          <w:tcPr>
            <w:tcW w:w="1134" w:type="dxa"/>
            <w:tcBorders>
              <w:top w:val="nil"/>
              <w:left w:val="nil"/>
              <w:bottom w:val="single" w:sz="4" w:space="0" w:color="auto"/>
              <w:right w:val="single" w:sz="4" w:space="0" w:color="auto"/>
            </w:tcBorders>
            <w:noWrap/>
            <w:vAlign w:val="center"/>
            <w:hideMark/>
          </w:tcPr>
          <w:p w14:paraId="5C09B8A7" w14:textId="77777777" w:rsidR="005E4CF6" w:rsidRPr="008F41BF" w:rsidRDefault="005E4CF6" w:rsidP="005F534C">
            <w:pPr>
              <w:jc w:val="center"/>
              <w:rPr>
                <w:sz w:val="20"/>
                <w:szCs w:val="20"/>
              </w:rPr>
            </w:pPr>
            <w:r w:rsidRPr="008F41BF">
              <w:rPr>
                <w:sz w:val="20"/>
                <w:szCs w:val="20"/>
              </w:rPr>
              <w:t>-</w:t>
            </w:r>
          </w:p>
        </w:tc>
      </w:tr>
      <w:tr w:rsidR="005E4CF6" w14:paraId="5923CCCE" w14:textId="77777777" w:rsidTr="005F534C">
        <w:trPr>
          <w:trHeight w:val="535"/>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503A3DC9" w14:textId="77777777" w:rsidR="005E4CF6" w:rsidRDefault="005E4CF6" w:rsidP="005F534C">
            <w:pPr>
              <w:jc w:val="center"/>
              <w:rPr>
                <w:color w:val="000000"/>
                <w:sz w:val="20"/>
                <w:szCs w:val="20"/>
              </w:rPr>
            </w:pPr>
            <w:r>
              <w:rPr>
                <w:color w:val="000000"/>
                <w:sz w:val="20"/>
                <w:szCs w:val="20"/>
              </w:rPr>
              <w:t>1.3.</w:t>
            </w:r>
          </w:p>
        </w:tc>
        <w:tc>
          <w:tcPr>
            <w:tcW w:w="4305" w:type="dxa"/>
            <w:tcBorders>
              <w:top w:val="single" w:sz="4" w:space="0" w:color="auto"/>
              <w:left w:val="nil"/>
              <w:bottom w:val="single" w:sz="4" w:space="0" w:color="auto"/>
              <w:right w:val="single" w:sz="4" w:space="0" w:color="auto"/>
            </w:tcBorders>
            <w:noWrap/>
            <w:vAlign w:val="center"/>
            <w:hideMark/>
          </w:tcPr>
          <w:p w14:paraId="65612501" w14:textId="77777777" w:rsidR="005E4CF6" w:rsidRDefault="005E4CF6" w:rsidP="005F534C">
            <w:pPr>
              <w:rPr>
                <w:color w:val="000000"/>
                <w:sz w:val="20"/>
                <w:szCs w:val="20"/>
              </w:rPr>
            </w:pPr>
            <w:r>
              <w:rPr>
                <w:color w:val="000000"/>
                <w:sz w:val="20"/>
                <w:szCs w:val="20"/>
              </w:rPr>
              <w:t>projekcinių vandens technologinėms reikmėms sąnaudų pokytis</w:t>
            </w:r>
          </w:p>
        </w:tc>
        <w:tc>
          <w:tcPr>
            <w:tcW w:w="1701" w:type="dxa"/>
            <w:tcBorders>
              <w:top w:val="single" w:sz="4" w:space="0" w:color="auto"/>
              <w:left w:val="nil"/>
              <w:bottom w:val="single" w:sz="4" w:space="0" w:color="auto"/>
              <w:right w:val="single" w:sz="4" w:space="0" w:color="auto"/>
            </w:tcBorders>
            <w:noWrap/>
            <w:vAlign w:val="center"/>
            <w:hideMark/>
          </w:tcPr>
          <w:p w14:paraId="5AD58129" w14:textId="77777777" w:rsidR="005E4CF6" w:rsidRPr="008F41BF" w:rsidRDefault="005E4CF6" w:rsidP="005F534C">
            <w:pPr>
              <w:jc w:val="center"/>
              <w:rPr>
                <w:sz w:val="20"/>
                <w:szCs w:val="20"/>
              </w:rPr>
            </w:pPr>
            <w:r w:rsidRPr="008F41BF">
              <w:rPr>
                <w:sz w:val="20"/>
                <w:szCs w:val="20"/>
              </w:rPr>
              <w:t>2 475</w:t>
            </w:r>
          </w:p>
        </w:tc>
        <w:tc>
          <w:tcPr>
            <w:tcW w:w="1560" w:type="dxa"/>
            <w:tcBorders>
              <w:top w:val="single" w:sz="4" w:space="0" w:color="auto"/>
              <w:left w:val="nil"/>
              <w:bottom w:val="single" w:sz="4" w:space="0" w:color="auto"/>
              <w:right w:val="single" w:sz="4" w:space="0" w:color="auto"/>
            </w:tcBorders>
            <w:noWrap/>
            <w:vAlign w:val="center"/>
            <w:hideMark/>
          </w:tcPr>
          <w:p w14:paraId="4BC8EE04" w14:textId="77777777" w:rsidR="005E4CF6" w:rsidRPr="008F41BF" w:rsidRDefault="005E4CF6" w:rsidP="005F534C">
            <w:pPr>
              <w:jc w:val="center"/>
              <w:rPr>
                <w:sz w:val="20"/>
                <w:szCs w:val="20"/>
              </w:rPr>
            </w:pPr>
            <w:r w:rsidRPr="008F41BF">
              <w:rPr>
                <w:sz w:val="20"/>
                <w:szCs w:val="20"/>
              </w:rPr>
              <w:t>2 475</w:t>
            </w:r>
          </w:p>
        </w:tc>
        <w:tc>
          <w:tcPr>
            <w:tcW w:w="1134" w:type="dxa"/>
            <w:tcBorders>
              <w:top w:val="single" w:sz="4" w:space="0" w:color="auto"/>
              <w:left w:val="nil"/>
              <w:bottom w:val="single" w:sz="4" w:space="0" w:color="auto"/>
              <w:right w:val="single" w:sz="4" w:space="0" w:color="auto"/>
            </w:tcBorders>
            <w:noWrap/>
            <w:vAlign w:val="center"/>
            <w:hideMark/>
          </w:tcPr>
          <w:p w14:paraId="765FED69" w14:textId="77777777" w:rsidR="005E4CF6" w:rsidRPr="008F41BF" w:rsidRDefault="005E4CF6" w:rsidP="005F534C">
            <w:pPr>
              <w:jc w:val="center"/>
              <w:rPr>
                <w:sz w:val="20"/>
                <w:szCs w:val="20"/>
              </w:rPr>
            </w:pPr>
            <w:r w:rsidRPr="008F41BF">
              <w:rPr>
                <w:sz w:val="20"/>
                <w:szCs w:val="20"/>
              </w:rPr>
              <w:t>-</w:t>
            </w:r>
          </w:p>
        </w:tc>
      </w:tr>
      <w:tr w:rsidR="005E4CF6" w14:paraId="3A10DF3C" w14:textId="77777777" w:rsidTr="005F534C">
        <w:trPr>
          <w:trHeight w:val="535"/>
        </w:trPr>
        <w:tc>
          <w:tcPr>
            <w:tcW w:w="680" w:type="dxa"/>
            <w:tcBorders>
              <w:top w:val="nil"/>
              <w:left w:val="single" w:sz="4" w:space="0" w:color="auto"/>
              <w:bottom w:val="single" w:sz="4" w:space="0" w:color="auto"/>
              <w:right w:val="single" w:sz="4" w:space="0" w:color="auto"/>
            </w:tcBorders>
            <w:noWrap/>
            <w:vAlign w:val="center"/>
            <w:hideMark/>
          </w:tcPr>
          <w:p w14:paraId="4D74D7D2" w14:textId="77777777" w:rsidR="005E4CF6" w:rsidRDefault="005E4CF6" w:rsidP="005F534C">
            <w:pPr>
              <w:jc w:val="center"/>
              <w:rPr>
                <w:color w:val="000000"/>
                <w:sz w:val="20"/>
                <w:szCs w:val="20"/>
              </w:rPr>
            </w:pPr>
            <w:r>
              <w:rPr>
                <w:color w:val="000000"/>
                <w:sz w:val="20"/>
                <w:szCs w:val="20"/>
              </w:rPr>
              <w:t>1.4.</w:t>
            </w:r>
          </w:p>
        </w:tc>
        <w:tc>
          <w:tcPr>
            <w:tcW w:w="4305" w:type="dxa"/>
            <w:tcBorders>
              <w:top w:val="nil"/>
              <w:left w:val="nil"/>
              <w:bottom w:val="single" w:sz="4" w:space="0" w:color="auto"/>
              <w:right w:val="single" w:sz="4" w:space="0" w:color="auto"/>
            </w:tcBorders>
            <w:noWrap/>
            <w:vAlign w:val="center"/>
            <w:hideMark/>
          </w:tcPr>
          <w:p w14:paraId="16887D17" w14:textId="77777777" w:rsidR="005E4CF6" w:rsidRDefault="005E4CF6" w:rsidP="005F534C">
            <w:pPr>
              <w:rPr>
                <w:color w:val="000000"/>
                <w:sz w:val="20"/>
                <w:szCs w:val="20"/>
              </w:rPr>
            </w:pPr>
            <w:r>
              <w:rPr>
                <w:color w:val="000000"/>
                <w:sz w:val="20"/>
                <w:szCs w:val="20"/>
              </w:rPr>
              <w:t>koregavimo metu apskaičiuotas kitų kintamųjų sąnaudų pokytis</w:t>
            </w:r>
          </w:p>
        </w:tc>
        <w:tc>
          <w:tcPr>
            <w:tcW w:w="1701" w:type="dxa"/>
            <w:tcBorders>
              <w:top w:val="nil"/>
              <w:left w:val="nil"/>
              <w:bottom w:val="single" w:sz="4" w:space="0" w:color="auto"/>
              <w:right w:val="single" w:sz="4" w:space="0" w:color="auto"/>
            </w:tcBorders>
            <w:noWrap/>
            <w:vAlign w:val="center"/>
            <w:hideMark/>
          </w:tcPr>
          <w:p w14:paraId="0D33A11E" w14:textId="77777777" w:rsidR="005E4CF6" w:rsidRPr="008F41BF" w:rsidRDefault="005E4CF6" w:rsidP="005F534C">
            <w:pPr>
              <w:jc w:val="center"/>
              <w:rPr>
                <w:sz w:val="20"/>
                <w:szCs w:val="20"/>
              </w:rPr>
            </w:pPr>
            <w:r w:rsidRPr="008F41BF">
              <w:rPr>
                <w:sz w:val="20"/>
                <w:szCs w:val="20"/>
              </w:rPr>
              <w:t>16 969</w:t>
            </w:r>
          </w:p>
        </w:tc>
        <w:tc>
          <w:tcPr>
            <w:tcW w:w="1560" w:type="dxa"/>
            <w:tcBorders>
              <w:top w:val="nil"/>
              <w:left w:val="nil"/>
              <w:bottom w:val="single" w:sz="4" w:space="0" w:color="auto"/>
              <w:right w:val="single" w:sz="4" w:space="0" w:color="auto"/>
            </w:tcBorders>
            <w:noWrap/>
            <w:vAlign w:val="center"/>
            <w:hideMark/>
          </w:tcPr>
          <w:p w14:paraId="10B8B380" w14:textId="77777777" w:rsidR="005E4CF6" w:rsidRPr="008F41BF" w:rsidRDefault="005E4CF6" w:rsidP="005F534C">
            <w:pPr>
              <w:jc w:val="center"/>
              <w:rPr>
                <w:sz w:val="20"/>
                <w:szCs w:val="20"/>
              </w:rPr>
            </w:pPr>
            <w:r w:rsidRPr="008F41BF">
              <w:rPr>
                <w:sz w:val="20"/>
                <w:szCs w:val="20"/>
              </w:rPr>
              <w:t>18 247</w:t>
            </w:r>
          </w:p>
        </w:tc>
        <w:tc>
          <w:tcPr>
            <w:tcW w:w="1134" w:type="dxa"/>
            <w:tcBorders>
              <w:top w:val="nil"/>
              <w:left w:val="nil"/>
              <w:bottom w:val="single" w:sz="4" w:space="0" w:color="auto"/>
              <w:right w:val="single" w:sz="4" w:space="0" w:color="auto"/>
            </w:tcBorders>
            <w:noWrap/>
            <w:vAlign w:val="center"/>
            <w:hideMark/>
          </w:tcPr>
          <w:p w14:paraId="18CAE070" w14:textId="77777777" w:rsidR="005E4CF6" w:rsidRPr="008F41BF" w:rsidRDefault="005E4CF6" w:rsidP="005F534C">
            <w:pPr>
              <w:jc w:val="center"/>
              <w:rPr>
                <w:sz w:val="20"/>
                <w:szCs w:val="20"/>
              </w:rPr>
            </w:pPr>
            <w:r w:rsidRPr="008F41BF">
              <w:rPr>
                <w:sz w:val="20"/>
                <w:szCs w:val="20"/>
              </w:rPr>
              <w:t>1 278</w:t>
            </w:r>
          </w:p>
        </w:tc>
      </w:tr>
      <w:tr w:rsidR="005E4CF6" w14:paraId="1A7F6EAF" w14:textId="77777777" w:rsidTr="005F534C">
        <w:trPr>
          <w:trHeight w:val="535"/>
        </w:trPr>
        <w:tc>
          <w:tcPr>
            <w:tcW w:w="680" w:type="dxa"/>
            <w:tcBorders>
              <w:top w:val="nil"/>
              <w:left w:val="single" w:sz="4" w:space="0" w:color="auto"/>
              <w:bottom w:val="single" w:sz="4" w:space="0" w:color="auto"/>
              <w:right w:val="single" w:sz="4" w:space="0" w:color="auto"/>
            </w:tcBorders>
            <w:noWrap/>
            <w:vAlign w:val="center"/>
            <w:hideMark/>
          </w:tcPr>
          <w:p w14:paraId="3450E3A1" w14:textId="77777777" w:rsidR="005E4CF6" w:rsidRDefault="005E4CF6" w:rsidP="005F534C">
            <w:pPr>
              <w:jc w:val="center"/>
              <w:rPr>
                <w:color w:val="000000"/>
                <w:sz w:val="20"/>
                <w:szCs w:val="20"/>
              </w:rPr>
            </w:pPr>
            <w:r>
              <w:rPr>
                <w:color w:val="000000"/>
                <w:sz w:val="20"/>
                <w:szCs w:val="20"/>
              </w:rPr>
              <w:t>1.4.1</w:t>
            </w:r>
          </w:p>
        </w:tc>
        <w:tc>
          <w:tcPr>
            <w:tcW w:w="4305" w:type="dxa"/>
            <w:tcBorders>
              <w:top w:val="nil"/>
              <w:left w:val="nil"/>
              <w:bottom w:val="single" w:sz="4" w:space="0" w:color="auto"/>
              <w:right w:val="single" w:sz="4" w:space="0" w:color="auto"/>
            </w:tcBorders>
            <w:noWrap/>
            <w:vAlign w:val="center"/>
            <w:hideMark/>
          </w:tcPr>
          <w:p w14:paraId="1E39615F" w14:textId="77777777" w:rsidR="005E4CF6" w:rsidRDefault="005E4CF6" w:rsidP="005F534C">
            <w:pPr>
              <w:rPr>
                <w:i/>
                <w:iCs/>
                <w:color w:val="000000"/>
                <w:sz w:val="20"/>
                <w:szCs w:val="20"/>
              </w:rPr>
            </w:pPr>
            <w:r>
              <w:rPr>
                <w:i/>
                <w:iCs/>
                <w:color w:val="000000"/>
                <w:sz w:val="20"/>
                <w:szCs w:val="20"/>
              </w:rPr>
              <w:t xml:space="preserve">  pelenų tvarkymo sąnaudų pokytis</w:t>
            </w:r>
          </w:p>
        </w:tc>
        <w:tc>
          <w:tcPr>
            <w:tcW w:w="1701" w:type="dxa"/>
            <w:tcBorders>
              <w:top w:val="nil"/>
              <w:left w:val="nil"/>
              <w:bottom w:val="single" w:sz="4" w:space="0" w:color="auto"/>
              <w:right w:val="single" w:sz="4" w:space="0" w:color="auto"/>
            </w:tcBorders>
            <w:noWrap/>
            <w:vAlign w:val="center"/>
            <w:hideMark/>
          </w:tcPr>
          <w:p w14:paraId="1A5930BD" w14:textId="77777777" w:rsidR="005E4CF6" w:rsidRPr="008F41BF" w:rsidRDefault="005E4CF6" w:rsidP="005F534C">
            <w:pPr>
              <w:jc w:val="center"/>
              <w:rPr>
                <w:i/>
                <w:iCs/>
                <w:sz w:val="20"/>
                <w:szCs w:val="20"/>
              </w:rPr>
            </w:pPr>
            <w:r w:rsidRPr="008F41BF">
              <w:rPr>
                <w:i/>
                <w:iCs/>
                <w:sz w:val="20"/>
                <w:szCs w:val="20"/>
              </w:rPr>
              <w:t>2 361</w:t>
            </w:r>
          </w:p>
        </w:tc>
        <w:tc>
          <w:tcPr>
            <w:tcW w:w="1560" w:type="dxa"/>
            <w:tcBorders>
              <w:top w:val="nil"/>
              <w:left w:val="nil"/>
              <w:bottom w:val="single" w:sz="4" w:space="0" w:color="auto"/>
              <w:right w:val="single" w:sz="4" w:space="0" w:color="auto"/>
            </w:tcBorders>
            <w:noWrap/>
            <w:vAlign w:val="center"/>
            <w:hideMark/>
          </w:tcPr>
          <w:p w14:paraId="6AAF711D" w14:textId="77777777" w:rsidR="005E4CF6" w:rsidRPr="008F41BF" w:rsidRDefault="005E4CF6" w:rsidP="005F534C">
            <w:pPr>
              <w:jc w:val="center"/>
              <w:rPr>
                <w:i/>
                <w:iCs/>
                <w:sz w:val="20"/>
                <w:szCs w:val="20"/>
              </w:rPr>
            </w:pPr>
            <w:r w:rsidRPr="008F41BF">
              <w:rPr>
                <w:i/>
                <w:iCs/>
                <w:sz w:val="20"/>
                <w:szCs w:val="20"/>
              </w:rPr>
              <w:t>2 355</w:t>
            </w:r>
          </w:p>
        </w:tc>
        <w:tc>
          <w:tcPr>
            <w:tcW w:w="1134" w:type="dxa"/>
            <w:tcBorders>
              <w:top w:val="nil"/>
              <w:left w:val="nil"/>
              <w:bottom w:val="single" w:sz="4" w:space="0" w:color="auto"/>
              <w:right w:val="single" w:sz="4" w:space="0" w:color="auto"/>
            </w:tcBorders>
            <w:noWrap/>
            <w:vAlign w:val="center"/>
            <w:hideMark/>
          </w:tcPr>
          <w:p w14:paraId="6793570D" w14:textId="77777777" w:rsidR="005E4CF6" w:rsidRPr="008F41BF" w:rsidRDefault="005E4CF6" w:rsidP="005F534C">
            <w:pPr>
              <w:jc w:val="center"/>
              <w:rPr>
                <w:i/>
                <w:iCs/>
                <w:sz w:val="20"/>
                <w:szCs w:val="20"/>
              </w:rPr>
            </w:pPr>
            <w:r w:rsidRPr="008F41BF">
              <w:rPr>
                <w:i/>
                <w:iCs/>
                <w:sz w:val="20"/>
                <w:szCs w:val="20"/>
              </w:rPr>
              <w:t>-6</w:t>
            </w:r>
          </w:p>
        </w:tc>
      </w:tr>
      <w:tr w:rsidR="005E4CF6" w14:paraId="00EC73FC" w14:textId="77777777" w:rsidTr="005F534C">
        <w:trPr>
          <w:trHeight w:val="535"/>
        </w:trPr>
        <w:tc>
          <w:tcPr>
            <w:tcW w:w="680" w:type="dxa"/>
            <w:tcBorders>
              <w:top w:val="single" w:sz="4" w:space="0" w:color="auto"/>
              <w:left w:val="single" w:sz="4" w:space="0" w:color="auto"/>
              <w:bottom w:val="single" w:sz="4" w:space="0" w:color="auto"/>
              <w:right w:val="single" w:sz="4" w:space="0" w:color="auto"/>
            </w:tcBorders>
            <w:noWrap/>
            <w:vAlign w:val="center"/>
            <w:hideMark/>
          </w:tcPr>
          <w:p w14:paraId="25C5E4B3" w14:textId="77777777" w:rsidR="005E4CF6" w:rsidRDefault="005E4CF6" w:rsidP="005F534C">
            <w:pPr>
              <w:jc w:val="center"/>
              <w:rPr>
                <w:color w:val="000000"/>
                <w:sz w:val="20"/>
                <w:szCs w:val="20"/>
              </w:rPr>
            </w:pPr>
            <w:r>
              <w:rPr>
                <w:color w:val="000000"/>
                <w:sz w:val="20"/>
                <w:szCs w:val="20"/>
              </w:rPr>
              <w:t>1.4.2.</w:t>
            </w:r>
          </w:p>
        </w:tc>
        <w:tc>
          <w:tcPr>
            <w:tcW w:w="4305" w:type="dxa"/>
            <w:tcBorders>
              <w:top w:val="single" w:sz="4" w:space="0" w:color="auto"/>
              <w:left w:val="nil"/>
              <w:bottom w:val="single" w:sz="4" w:space="0" w:color="auto"/>
              <w:right w:val="single" w:sz="4" w:space="0" w:color="auto"/>
            </w:tcBorders>
            <w:noWrap/>
            <w:vAlign w:val="center"/>
            <w:hideMark/>
          </w:tcPr>
          <w:p w14:paraId="33E3788D" w14:textId="77777777" w:rsidR="005E4CF6" w:rsidRDefault="005E4CF6" w:rsidP="005F534C">
            <w:pPr>
              <w:rPr>
                <w:i/>
                <w:iCs/>
                <w:color w:val="000000"/>
                <w:sz w:val="20"/>
                <w:szCs w:val="20"/>
              </w:rPr>
            </w:pPr>
            <w:r>
              <w:rPr>
                <w:i/>
                <w:iCs/>
                <w:color w:val="000000"/>
                <w:sz w:val="20"/>
                <w:szCs w:val="20"/>
              </w:rPr>
              <w:t xml:space="preserve">  laboratorinių tyrimų sąnaudų pokytis </w:t>
            </w:r>
          </w:p>
        </w:tc>
        <w:tc>
          <w:tcPr>
            <w:tcW w:w="1701" w:type="dxa"/>
            <w:tcBorders>
              <w:top w:val="single" w:sz="4" w:space="0" w:color="auto"/>
              <w:left w:val="nil"/>
              <w:bottom w:val="single" w:sz="4" w:space="0" w:color="auto"/>
              <w:right w:val="single" w:sz="4" w:space="0" w:color="auto"/>
            </w:tcBorders>
            <w:noWrap/>
            <w:vAlign w:val="center"/>
            <w:hideMark/>
          </w:tcPr>
          <w:p w14:paraId="389484AD" w14:textId="77777777" w:rsidR="005E4CF6" w:rsidRDefault="005E4CF6" w:rsidP="005F534C">
            <w:pPr>
              <w:jc w:val="center"/>
              <w:rPr>
                <w:i/>
                <w:iCs/>
                <w:color w:val="000000"/>
                <w:sz w:val="20"/>
                <w:szCs w:val="20"/>
              </w:rPr>
            </w:pPr>
            <w:r>
              <w:rPr>
                <w:i/>
                <w:iCs/>
                <w:color w:val="000000"/>
                <w:sz w:val="20"/>
                <w:szCs w:val="20"/>
              </w:rPr>
              <w:t>14 608</w:t>
            </w:r>
          </w:p>
        </w:tc>
        <w:tc>
          <w:tcPr>
            <w:tcW w:w="1560" w:type="dxa"/>
            <w:tcBorders>
              <w:top w:val="single" w:sz="4" w:space="0" w:color="auto"/>
              <w:left w:val="nil"/>
              <w:bottom w:val="single" w:sz="4" w:space="0" w:color="auto"/>
              <w:right w:val="single" w:sz="4" w:space="0" w:color="auto"/>
            </w:tcBorders>
            <w:noWrap/>
            <w:vAlign w:val="center"/>
            <w:hideMark/>
          </w:tcPr>
          <w:p w14:paraId="34B2B751" w14:textId="77777777" w:rsidR="005E4CF6" w:rsidRDefault="005E4CF6" w:rsidP="005F534C">
            <w:pPr>
              <w:jc w:val="center"/>
              <w:rPr>
                <w:i/>
                <w:iCs/>
                <w:color w:val="000000"/>
                <w:sz w:val="20"/>
                <w:szCs w:val="20"/>
              </w:rPr>
            </w:pPr>
            <w:r>
              <w:rPr>
                <w:i/>
                <w:iCs/>
                <w:color w:val="000000"/>
                <w:sz w:val="20"/>
                <w:szCs w:val="20"/>
              </w:rPr>
              <w:t>15 893</w:t>
            </w:r>
          </w:p>
        </w:tc>
        <w:tc>
          <w:tcPr>
            <w:tcW w:w="1134" w:type="dxa"/>
            <w:tcBorders>
              <w:top w:val="single" w:sz="4" w:space="0" w:color="auto"/>
              <w:left w:val="nil"/>
              <w:bottom w:val="single" w:sz="4" w:space="0" w:color="auto"/>
              <w:right w:val="single" w:sz="4" w:space="0" w:color="auto"/>
            </w:tcBorders>
            <w:noWrap/>
            <w:vAlign w:val="center"/>
            <w:hideMark/>
          </w:tcPr>
          <w:p w14:paraId="472F696E" w14:textId="77777777" w:rsidR="005E4CF6" w:rsidRDefault="005E4CF6" w:rsidP="005F534C">
            <w:pPr>
              <w:jc w:val="center"/>
              <w:rPr>
                <w:i/>
                <w:iCs/>
                <w:color w:val="000000"/>
                <w:sz w:val="20"/>
                <w:szCs w:val="20"/>
              </w:rPr>
            </w:pPr>
            <w:r>
              <w:rPr>
                <w:i/>
                <w:iCs/>
                <w:color w:val="000000"/>
                <w:sz w:val="20"/>
                <w:szCs w:val="20"/>
              </w:rPr>
              <w:t>1 284</w:t>
            </w:r>
          </w:p>
        </w:tc>
      </w:tr>
      <w:tr w:rsidR="005E4CF6" w14:paraId="0912EF67" w14:textId="77777777" w:rsidTr="005F534C">
        <w:trPr>
          <w:trHeight w:val="535"/>
        </w:trPr>
        <w:tc>
          <w:tcPr>
            <w:tcW w:w="680" w:type="dxa"/>
            <w:tcBorders>
              <w:top w:val="single" w:sz="4" w:space="0" w:color="auto"/>
              <w:left w:val="single" w:sz="4" w:space="0" w:color="auto"/>
              <w:bottom w:val="single" w:sz="4" w:space="0" w:color="auto"/>
              <w:right w:val="single" w:sz="4" w:space="0" w:color="auto"/>
            </w:tcBorders>
            <w:noWrap/>
            <w:vAlign w:val="center"/>
          </w:tcPr>
          <w:p w14:paraId="0A2A47EB" w14:textId="77777777" w:rsidR="005E4CF6" w:rsidRDefault="005E4CF6" w:rsidP="005F534C">
            <w:pPr>
              <w:jc w:val="center"/>
              <w:rPr>
                <w:color w:val="000000"/>
                <w:sz w:val="20"/>
                <w:szCs w:val="20"/>
              </w:rPr>
            </w:pPr>
            <w:r w:rsidRPr="00F06B71">
              <w:rPr>
                <w:color w:val="000000"/>
                <w:sz w:val="20"/>
                <w:szCs w:val="20"/>
              </w:rPr>
              <w:t>1.5.</w:t>
            </w:r>
          </w:p>
        </w:tc>
        <w:tc>
          <w:tcPr>
            <w:tcW w:w="4305" w:type="dxa"/>
            <w:tcBorders>
              <w:top w:val="single" w:sz="4" w:space="0" w:color="auto"/>
              <w:left w:val="nil"/>
              <w:bottom w:val="single" w:sz="4" w:space="0" w:color="auto"/>
              <w:right w:val="single" w:sz="4" w:space="0" w:color="auto"/>
            </w:tcBorders>
            <w:noWrap/>
            <w:vAlign w:val="center"/>
          </w:tcPr>
          <w:p w14:paraId="1315ACC9" w14:textId="77777777" w:rsidR="005E4CF6" w:rsidRPr="00B071A4" w:rsidRDefault="005E4CF6" w:rsidP="005F534C">
            <w:pPr>
              <w:rPr>
                <w:color w:val="000000"/>
                <w:sz w:val="20"/>
                <w:szCs w:val="20"/>
              </w:rPr>
            </w:pPr>
            <w:r w:rsidRPr="00B071A4">
              <w:rPr>
                <w:color w:val="000000"/>
                <w:sz w:val="20"/>
                <w:szCs w:val="20"/>
              </w:rPr>
              <w:t>papildomo šilumos kiekio Q</w:t>
            </w:r>
            <w:r w:rsidRPr="00B071A4">
              <w:rPr>
                <w:color w:val="000000"/>
                <w:sz w:val="20"/>
                <w:szCs w:val="20"/>
                <w:vertAlign w:val="subscript"/>
              </w:rPr>
              <w:t>TL</w:t>
            </w:r>
            <w:r w:rsidRPr="00B071A4">
              <w:rPr>
                <w:color w:val="000000"/>
                <w:sz w:val="20"/>
                <w:szCs w:val="20"/>
              </w:rPr>
              <w:t xml:space="preserve"> sąnaudos</w:t>
            </w:r>
          </w:p>
        </w:tc>
        <w:tc>
          <w:tcPr>
            <w:tcW w:w="1701" w:type="dxa"/>
            <w:tcBorders>
              <w:top w:val="single" w:sz="4" w:space="0" w:color="auto"/>
              <w:left w:val="nil"/>
              <w:bottom w:val="single" w:sz="4" w:space="0" w:color="auto"/>
              <w:right w:val="single" w:sz="4" w:space="0" w:color="auto"/>
            </w:tcBorders>
            <w:noWrap/>
            <w:vAlign w:val="center"/>
          </w:tcPr>
          <w:p w14:paraId="419252A7" w14:textId="77777777" w:rsidR="005E4CF6" w:rsidRPr="00D46AF8" w:rsidRDefault="005E4CF6" w:rsidP="005F534C">
            <w:pPr>
              <w:jc w:val="center"/>
              <w:rPr>
                <w:color w:val="000000"/>
                <w:sz w:val="20"/>
                <w:szCs w:val="20"/>
              </w:rPr>
            </w:pPr>
            <w:r w:rsidRPr="00D46AF8">
              <w:rPr>
                <w:color w:val="000000"/>
                <w:sz w:val="20"/>
                <w:szCs w:val="20"/>
              </w:rPr>
              <w:t>444 834</w:t>
            </w:r>
          </w:p>
        </w:tc>
        <w:tc>
          <w:tcPr>
            <w:tcW w:w="1560" w:type="dxa"/>
            <w:tcBorders>
              <w:top w:val="single" w:sz="4" w:space="0" w:color="auto"/>
              <w:left w:val="nil"/>
              <w:bottom w:val="single" w:sz="4" w:space="0" w:color="auto"/>
              <w:right w:val="single" w:sz="4" w:space="0" w:color="auto"/>
            </w:tcBorders>
            <w:noWrap/>
            <w:vAlign w:val="center"/>
          </w:tcPr>
          <w:p w14:paraId="2579B8A2" w14:textId="77777777" w:rsidR="005E4CF6" w:rsidRPr="00D46AF8" w:rsidRDefault="005E4CF6" w:rsidP="005F534C">
            <w:pPr>
              <w:jc w:val="center"/>
              <w:rPr>
                <w:color w:val="000000"/>
                <w:sz w:val="20"/>
                <w:szCs w:val="20"/>
              </w:rPr>
            </w:pPr>
            <w:r w:rsidRPr="00D46AF8">
              <w:rPr>
                <w:color w:val="000000"/>
                <w:sz w:val="20"/>
                <w:szCs w:val="20"/>
              </w:rPr>
              <w:t>456 143</w:t>
            </w:r>
          </w:p>
        </w:tc>
        <w:tc>
          <w:tcPr>
            <w:tcW w:w="1134" w:type="dxa"/>
            <w:tcBorders>
              <w:top w:val="single" w:sz="4" w:space="0" w:color="auto"/>
              <w:left w:val="nil"/>
              <w:bottom w:val="single" w:sz="4" w:space="0" w:color="auto"/>
              <w:right w:val="single" w:sz="4" w:space="0" w:color="auto"/>
            </w:tcBorders>
            <w:noWrap/>
            <w:vAlign w:val="center"/>
          </w:tcPr>
          <w:p w14:paraId="49ACE67C" w14:textId="77777777" w:rsidR="005E4CF6" w:rsidRPr="00D46AF8" w:rsidRDefault="005E4CF6" w:rsidP="005F534C">
            <w:pPr>
              <w:jc w:val="center"/>
              <w:rPr>
                <w:color w:val="000000"/>
                <w:sz w:val="20"/>
                <w:szCs w:val="20"/>
              </w:rPr>
            </w:pPr>
            <w:r>
              <w:rPr>
                <w:color w:val="000000"/>
                <w:sz w:val="20"/>
                <w:szCs w:val="20"/>
              </w:rPr>
              <w:t>11 308</w:t>
            </w:r>
          </w:p>
        </w:tc>
      </w:tr>
    </w:tbl>
    <w:p w14:paraId="3676F96B" w14:textId="77777777" w:rsidR="005E4CF6" w:rsidRPr="00454D3D" w:rsidRDefault="005E4CF6" w:rsidP="005E4CF6">
      <w:pPr>
        <w:autoSpaceDE w:val="0"/>
        <w:autoSpaceDN w:val="0"/>
        <w:adjustRightInd w:val="0"/>
        <w:ind w:firstLine="720"/>
        <w:jc w:val="both"/>
        <w:rPr>
          <w:rFonts w:eastAsia="TimesNewRomanPSMT"/>
        </w:rPr>
      </w:pPr>
      <w:r w:rsidRPr="00DD5438">
        <w:rPr>
          <w:rFonts w:eastAsia="TimesNewRomanPSMT"/>
        </w:rPr>
        <w:t xml:space="preserve">Įvertinus 2025 m. </w:t>
      </w:r>
      <w:r>
        <w:rPr>
          <w:rFonts w:eastAsia="TimesNewRomanPSMT"/>
        </w:rPr>
        <w:t>lapkričio</w:t>
      </w:r>
      <w:r w:rsidRPr="00DD5438">
        <w:rPr>
          <w:rFonts w:eastAsia="TimesNewRomanPSMT"/>
        </w:rPr>
        <w:t xml:space="preserve"> mėn. šilumos kainos skaičiavimuose taikytą vidutinę svertinę</w:t>
      </w:r>
      <w:r>
        <w:rPr>
          <w:rFonts w:eastAsia="TimesNewRomanPSMT"/>
        </w:rPr>
        <w:t xml:space="preserve"> </w:t>
      </w:r>
      <w:r w:rsidRPr="00DD5438">
        <w:rPr>
          <w:rFonts w:eastAsia="TimesNewRomanPSMT"/>
        </w:rPr>
        <w:t>kuro kainą</w:t>
      </w:r>
      <w:r>
        <w:rPr>
          <w:rFonts w:eastAsia="TimesNewRomanPSMT"/>
        </w:rPr>
        <w:t>,</w:t>
      </w:r>
      <w:r w:rsidRPr="00DD5438">
        <w:rPr>
          <w:rFonts w:eastAsia="TimesNewRomanPSMT"/>
        </w:rPr>
        <w:t xml:space="preserve"> elektros energijos ir vandens technologinėms reikmėms kainas, Bendrovės galiojanti</w:t>
      </w:r>
      <w:r>
        <w:rPr>
          <w:rFonts w:eastAsia="TimesNewRomanPSMT"/>
        </w:rPr>
        <w:t xml:space="preserve"> </w:t>
      </w:r>
      <w:r w:rsidRPr="00DD5438">
        <w:rPr>
          <w:rFonts w:eastAsia="TimesNewRomanPSMT"/>
        </w:rPr>
        <w:t xml:space="preserve">projekcinė Pajamų bazinio lygio kintamoji dalis sudaro </w:t>
      </w:r>
      <w:r w:rsidRPr="00454D3D">
        <w:rPr>
          <w:rFonts w:eastAsia="TimesNewRomanPSMT"/>
        </w:rPr>
        <w:t xml:space="preserve">1714,004 tūkst. Eur, o po pirmojo Pajamų bazinio lygio koregavimo </w:t>
      </w:r>
      <w:r w:rsidRPr="00FA6337">
        <w:rPr>
          <w:rFonts w:eastAsia="TimesNewRomanPSMT"/>
          <w:b/>
          <w:bCs/>
        </w:rPr>
        <w:t>projekcinė Pajamų bazinio lygio kintamoji dalis</w:t>
      </w:r>
      <w:r w:rsidRPr="00454D3D">
        <w:rPr>
          <w:rFonts w:eastAsia="TimesNewRomanPSMT"/>
        </w:rPr>
        <w:t xml:space="preserve">, įvertinus minėtas kainas, sudaro 1723,8375 tūkst. Eur, t. y. </w:t>
      </w:r>
      <w:r w:rsidRPr="00FA6337">
        <w:rPr>
          <w:rFonts w:eastAsia="TimesNewRomanPSMT"/>
          <w:b/>
          <w:bCs/>
        </w:rPr>
        <w:t>9,833 tūkst. Eur</w:t>
      </w:r>
      <w:r w:rsidRPr="00454D3D">
        <w:rPr>
          <w:rFonts w:eastAsia="TimesNewRomanPSMT"/>
        </w:rPr>
        <w:t xml:space="preserve"> </w:t>
      </w:r>
      <w:r w:rsidRPr="00FA6337">
        <w:rPr>
          <w:rFonts w:eastAsia="TimesNewRomanPSMT"/>
          <w:b/>
          <w:bCs/>
        </w:rPr>
        <w:t>daugiau</w:t>
      </w:r>
      <w:r w:rsidRPr="00454D3D">
        <w:rPr>
          <w:rFonts w:eastAsia="TimesNewRomanPSMT"/>
        </w:rPr>
        <w:t xml:space="preserve"> nei galiojančiame Pajamų lygyje. </w:t>
      </w:r>
    </w:p>
    <w:p w14:paraId="0D4B3DCA" w14:textId="77777777" w:rsidR="005E4CF6" w:rsidRDefault="005E4CF6" w:rsidP="005E4CF6">
      <w:pPr>
        <w:autoSpaceDE w:val="0"/>
        <w:autoSpaceDN w:val="0"/>
        <w:adjustRightInd w:val="0"/>
        <w:ind w:firstLine="567"/>
        <w:jc w:val="both"/>
        <w:rPr>
          <w:bCs/>
          <w:iCs/>
        </w:rPr>
      </w:pPr>
    </w:p>
    <w:p w14:paraId="1A8E1F8A" w14:textId="77777777" w:rsidR="005E4CF6" w:rsidRPr="00A03FF9" w:rsidRDefault="005E4CF6" w:rsidP="005E4CF6">
      <w:pPr>
        <w:autoSpaceDE w:val="0"/>
        <w:autoSpaceDN w:val="0"/>
        <w:adjustRightInd w:val="0"/>
        <w:ind w:firstLine="720"/>
        <w:jc w:val="both"/>
        <w:rPr>
          <w:i/>
        </w:rPr>
      </w:pPr>
      <w:r>
        <w:rPr>
          <w:i/>
        </w:rPr>
        <w:t>K</w:t>
      </w:r>
      <w:r w:rsidRPr="00A03FF9">
        <w:rPr>
          <w:i/>
        </w:rPr>
        <w:t>itų papildomų pajamų lygio dalių vertinimas</w:t>
      </w:r>
    </w:p>
    <w:p w14:paraId="595CAA9A" w14:textId="77777777" w:rsidR="005E4CF6" w:rsidRPr="00AE3586" w:rsidRDefault="005E4CF6" w:rsidP="005E4CF6">
      <w:pPr>
        <w:autoSpaceDE w:val="0"/>
        <w:autoSpaceDN w:val="0"/>
        <w:adjustRightInd w:val="0"/>
        <w:ind w:firstLine="720"/>
        <w:jc w:val="both"/>
        <w:rPr>
          <w:rFonts w:eastAsia="TimesNewRomanPSMT"/>
        </w:rPr>
      </w:pPr>
      <w:r>
        <w:rPr>
          <w:bCs/>
          <w:iCs/>
        </w:rPr>
        <w:t>Pažymėtina, kad VERT 2025 m. liepos 15 d. raštu Nr. R2-(K)-4109 „Dėl investicijų grąžos normos koregavimo“ informavo, kad šilumos tiekėjai, kurių nuo 2025 m. sausio 1 d. taikomuose Pajamų lygiuose, apskaičiuojant investicijų grąžos normą, taikytas 15 proc. pelno mokesčio tarifas, pasibaigus Pajamų lygio taikymo laikotarpiui, Pajamų lygio projektuose turi įvertinti dėl pasikeitusio</w:t>
      </w:r>
      <w:r>
        <w:rPr>
          <w:rStyle w:val="Puslapioinaosnuoroda"/>
          <w:bCs/>
          <w:iCs/>
        </w:rPr>
        <w:footnoteReference w:id="1"/>
      </w:r>
      <w:r>
        <w:rPr>
          <w:bCs/>
          <w:iCs/>
        </w:rPr>
        <w:t xml:space="preserve"> pelno mokesčio tarifo nuo 2025 m. sausio 1 d. negautą investicijų grąžą. Apskaičiuotas investicijų grąžos skirtumas Pajamų lygio nustatymo metu turi būti įvertintas apskaičiuojant Pajamų lygio papildomą dalį, vadovaujantis </w:t>
      </w:r>
      <w:r w:rsidRPr="00147BAB">
        <w:t xml:space="preserve">Šilumos kainų nustatymo </w:t>
      </w:r>
      <w:r>
        <w:t>m</w:t>
      </w:r>
      <w:r w:rsidRPr="00104E30">
        <w:rPr>
          <w:rFonts w:eastAsia="TimesNewRomanPSMT"/>
        </w:rPr>
        <w:t xml:space="preserve">etodikos </w:t>
      </w:r>
      <w:r>
        <w:rPr>
          <w:bCs/>
          <w:iCs/>
        </w:rPr>
        <w:t>92 punktu.</w:t>
      </w:r>
    </w:p>
    <w:p w14:paraId="5309BBFF" w14:textId="77777777" w:rsidR="005E4CF6" w:rsidRDefault="005E4CF6" w:rsidP="005E4CF6">
      <w:pPr>
        <w:ind w:firstLine="720"/>
        <w:jc w:val="both"/>
        <w:rPr>
          <w:bCs/>
          <w:iCs/>
        </w:rPr>
      </w:pPr>
      <w:r>
        <w:rPr>
          <w:bCs/>
          <w:iCs/>
        </w:rPr>
        <w:t>Dėl pelno mokesčio tarifo nuo 2025 m. sausio 1 d. pokyčio perskaičiuota Nutarimu Nr. O3E-391 nustatytame Pajamų lygyje įvertinta investicijų grąžos norma pateikta 3 lentelėje.</w:t>
      </w:r>
    </w:p>
    <w:p w14:paraId="377E0E9D" w14:textId="77777777" w:rsidR="005E4CF6" w:rsidRDefault="005E4CF6" w:rsidP="005E4CF6">
      <w:pPr>
        <w:jc w:val="both"/>
        <w:rPr>
          <w:bCs/>
          <w:iCs/>
        </w:rPr>
      </w:pPr>
    </w:p>
    <w:p w14:paraId="7A0362DD" w14:textId="77777777" w:rsidR="005E4CF6" w:rsidRDefault="005E4CF6" w:rsidP="005E4CF6">
      <w:pPr>
        <w:jc w:val="both"/>
        <w:rPr>
          <w:bCs/>
          <w:iCs/>
        </w:rPr>
      </w:pPr>
      <w:r>
        <w:rPr>
          <w:bCs/>
          <w:iCs/>
        </w:rPr>
        <w:t>3 lentelė. Galiojusi ir dėl pelno mokesčio pokyčio perskaičiuota investicijų grąžos norma</w:t>
      </w:r>
    </w:p>
    <w:tbl>
      <w:tblPr>
        <w:tblW w:w="9571" w:type="dxa"/>
        <w:tblInd w:w="-10" w:type="dxa"/>
        <w:tblLook w:val="04A0" w:firstRow="1" w:lastRow="0" w:firstColumn="1" w:lastColumn="0" w:noHBand="0" w:noVBand="1"/>
      </w:tblPr>
      <w:tblGrid>
        <w:gridCol w:w="553"/>
        <w:gridCol w:w="848"/>
        <w:gridCol w:w="2649"/>
        <w:gridCol w:w="1195"/>
        <w:gridCol w:w="2818"/>
        <w:gridCol w:w="1508"/>
      </w:tblGrid>
      <w:tr w:rsidR="005E4CF6" w:rsidRPr="0058482D" w14:paraId="546E2245" w14:textId="77777777" w:rsidTr="005F534C">
        <w:trPr>
          <w:trHeight w:val="258"/>
        </w:trPr>
        <w:tc>
          <w:tcPr>
            <w:tcW w:w="5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EF4C393" w14:textId="77777777" w:rsidR="005E4CF6" w:rsidRPr="0058482D" w:rsidRDefault="005E4CF6" w:rsidP="005F534C">
            <w:pPr>
              <w:jc w:val="center"/>
              <w:rPr>
                <w:color w:val="000000"/>
                <w:sz w:val="18"/>
                <w:szCs w:val="18"/>
              </w:rPr>
            </w:pPr>
            <w:r w:rsidRPr="0058482D">
              <w:rPr>
                <w:color w:val="000000"/>
                <w:sz w:val="18"/>
                <w:szCs w:val="18"/>
              </w:rPr>
              <w:t>Eil. Nr.</w:t>
            </w:r>
          </w:p>
        </w:tc>
        <w:tc>
          <w:tcPr>
            <w:tcW w:w="3497"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EFFD204" w14:textId="77777777" w:rsidR="005E4CF6" w:rsidRPr="0058482D" w:rsidRDefault="005E4CF6" w:rsidP="005F534C">
            <w:pPr>
              <w:jc w:val="center"/>
              <w:rPr>
                <w:color w:val="000000"/>
                <w:sz w:val="18"/>
                <w:szCs w:val="18"/>
              </w:rPr>
            </w:pPr>
            <w:r w:rsidRPr="0058482D">
              <w:rPr>
                <w:color w:val="000000"/>
                <w:sz w:val="18"/>
                <w:szCs w:val="18"/>
              </w:rPr>
              <w:t>Rodiklio pavadinimas</w:t>
            </w:r>
          </w:p>
        </w:tc>
        <w:tc>
          <w:tcPr>
            <w:tcW w:w="119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728C7C7" w14:textId="77777777" w:rsidR="005E4CF6" w:rsidRPr="0058482D" w:rsidRDefault="005E4CF6" w:rsidP="005F534C">
            <w:pPr>
              <w:jc w:val="center"/>
              <w:rPr>
                <w:color w:val="000000"/>
                <w:sz w:val="18"/>
                <w:szCs w:val="18"/>
              </w:rPr>
            </w:pPr>
            <w:r w:rsidRPr="0058482D">
              <w:rPr>
                <w:color w:val="000000"/>
                <w:sz w:val="18"/>
                <w:szCs w:val="18"/>
              </w:rPr>
              <w:t>Mato vnt.</w:t>
            </w:r>
          </w:p>
        </w:tc>
        <w:tc>
          <w:tcPr>
            <w:tcW w:w="2818"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728525CF" w14:textId="77777777" w:rsidR="005E4CF6" w:rsidRPr="0058482D" w:rsidRDefault="005E4CF6" w:rsidP="005F534C">
            <w:pPr>
              <w:jc w:val="center"/>
              <w:rPr>
                <w:color w:val="000000"/>
                <w:sz w:val="18"/>
                <w:szCs w:val="18"/>
              </w:rPr>
            </w:pPr>
            <w:r w:rsidRPr="0058482D">
              <w:rPr>
                <w:color w:val="000000"/>
                <w:sz w:val="18"/>
                <w:szCs w:val="18"/>
              </w:rPr>
              <w:t xml:space="preserve">Investicijų grąžos norma </w:t>
            </w:r>
            <w:r w:rsidRPr="0058482D">
              <w:rPr>
                <w:i/>
                <w:iCs/>
                <w:color w:val="000000"/>
                <w:sz w:val="18"/>
                <w:szCs w:val="18"/>
              </w:rPr>
              <w:t>r</w:t>
            </w:r>
            <w:r w:rsidRPr="0058482D">
              <w:rPr>
                <w:color w:val="000000"/>
                <w:sz w:val="18"/>
                <w:szCs w:val="18"/>
              </w:rPr>
              <w:t>, taikyta pajamų lygyje nustatytame  Nutarimu Nr. O3E-391</w:t>
            </w:r>
          </w:p>
        </w:tc>
        <w:tc>
          <w:tcPr>
            <w:tcW w:w="1508" w:type="dxa"/>
            <w:tcBorders>
              <w:top w:val="single" w:sz="8" w:space="0" w:color="auto"/>
              <w:left w:val="single" w:sz="4" w:space="0" w:color="auto"/>
              <w:bottom w:val="single" w:sz="8" w:space="0" w:color="auto"/>
              <w:right w:val="single" w:sz="8" w:space="0" w:color="auto"/>
            </w:tcBorders>
            <w:shd w:val="clear" w:color="000000" w:fill="FFFFFF"/>
            <w:vAlign w:val="center"/>
            <w:hideMark/>
          </w:tcPr>
          <w:p w14:paraId="7908749A" w14:textId="77777777" w:rsidR="005E4CF6" w:rsidRPr="0058482D" w:rsidRDefault="005E4CF6" w:rsidP="005F534C">
            <w:pPr>
              <w:jc w:val="center"/>
              <w:rPr>
                <w:color w:val="000000"/>
                <w:sz w:val="18"/>
                <w:szCs w:val="18"/>
              </w:rPr>
            </w:pPr>
            <w:r w:rsidRPr="0058482D">
              <w:rPr>
                <w:color w:val="000000"/>
                <w:sz w:val="18"/>
                <w:szCs w:val="18"/>
              </w:rPr>
              <w:t xml:space="preserve">Koreguota investicijų grąžos norma </w:t>
            </w:r>
            <w:r w:rsidRPr="0058482D">
              <w:rPr>
                <w:i/>
                <w:iCs/>
                <w:color w:val="000000"/>
                <w:sz w:val="18"/>
                <w:szCs w:val="18"/>
              </w:rPr>
              <w:t>r</w:t>
            </w:r>
          </w:p>
        </w:tc>
      </w:tr>
      <w:tr w:rsidR="005E4CF6" w:rsidRPr="0058482D" w14:paraId="59DEC881" w14:textId="77777777" w:rsidTr="005F534C">
        <w:trPr>
          <w:trHeight w:val="258"/>
        </w:trPr>
        <w:tc>
          <w:tcPr>
            <w:tcW w:w="9571"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20258151" w14:textId="77777777" w:rsidR="005E4CF6" w:rsidRPr="0058482D" w:rsidRDefault="005E4CF6" w:rsidP="005F534C">
            <w:pPr>
              <w:rPr>
                <w:b/>
                <w:bCs/>
                <w:i/>
                <w:iCs/>
                <w:color w:val="000000"/>
                <w:sz w:val="18"/>
                <w:szCs w:val="18"/>
              </w:rPr>
            </w:pPr>
            <w:r w:rsidRPr="0058482D">
              <w:rPr>
                <w:b/>
                <w:bCs/>
                <w:i/>
                <w:iCs/>
                <w:color w:val="000000"/>
                <w:sz w:val="18"/>
                <w:szCs w:val="18"/>
              </w:rPr>
              <w:t>Investicijų grąžos normos skaičiavimas</w:t>
            </w:r>
          </w:p>
        </w:tc>
      </w:tr>
      <w:tr w:rsidR="005E4CF6" w:rsidRPr="0058482D" w14:paraId="4580F6A4" w14:textId="77777777" w:rsidTr="005F534C">
        <w:trPr>
          <w:trHeight w:val="258"/>
        </w:trPr>
        <w:tc>
          <w:tcPr>
            <w:tcW w:w="553"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52BEF306" w14:textId="77777777" w:rsidR="005E4CF6" w:rsidRPr="0058482D" w:rsidRDefault="005E4CF6" w:rsidP="005F534C">
            <w:pPr>
              <w:jc w:val="center"/>
              <w:rPr>
                <w:color w:val="000000"/>
                <w:sz w:val="18"/>
                <w:szCs w:val="18"/>
              </w:rPr>
            </w:pPr>
            <w:r w:rsidRPr="0058482D">
              <w:rPr>
                <w:color w:val="000000"/>
                <w:sz w:val="18"/>
                <w:szCs w:val="18"/>
              </w:rPr>
              <w:t>1.</w:t>
            </w:r>
          </w:p>
        </w:tc>
        <w:tc>
          <w:tcPr>
            <w:tcW w:w="848" w:type="dxa"/>
            <w:tcBorders>
              <w:top w:val="nil"/>
              <w:left w:val="nil"/>
              <w:bottom w:val="single" w:sz="4" w:space="0" w:color="auto"/>
              <w:right w:val="single" w:sz="4" w:space="0" w:color="auto"/>
            </w:tcBorders>
            <w:shd w:val="clear" w:color="000000" w:fill="FFFFFF"/>
            <w:noWrap/>
            <w:vAlign w:val="center"/>
            <w:hideMark/>
          </w:tcPr>
          <w:p w14:paraId="027E182E" w14:textId="77777777" w:rsidR="005E4CF6" w:rsidRPr="0058482D" w:rsidRDefault="005E4CF6" w:rsidP="005F534C">
            <w:pPr>
              <w:jc w:val="center"/>
              <w:rPr>
                <w:sz w:val="18"/>
                <w:szCs w:val="18"/>
              </w:rPr>
            </w:pPr>
            <w:r w:rsidRPr="0058482D">
              <w:rPr>
                <w:sz w:val="18"/>
                <w:szCs w:val="18"/>
              </w:rPr>
              <w:t xml:space="preserve">r, </w:t>
            </w:r>
          </w:p>
        </w:tc>
        <w:tc>
          <w:tcPr>
            <w:tcW w:w="2649" w:type="dxa"/>
            <w:vMerge w:val="restart"/>
            <w:tcBorders>
              <w:top w:val="single" w:sz="8" w:space="0" w:color="auto"/>
              <w:left w:val="single" w:sz="4" w:space="0" w:color="auto"/>
              <w:bottom w:val="single" w:sz="4" w:space="0" w:color="000000"/>
              <w:right w:val="single" w:sz="8" w:space="0" w:color="000000"/>
            </w:tcBorders>
            <w:shd w:val="clear" w:color="000000" w:fill="FFFFFF"/>
            <w:noWrap/>
            <w:vAlign w:val="center"/>
            <w:hideMark/>
          </w:tcPr>
          <w:p w14:paraId="3A725EE0" w14:textId="77777777" w:rsidR="005E4CF6" w:rsidRPr="0058482D" w:rsidRDefault="005E4CF6" w:rsidP="005F534C">
            <w:pPr>
              <w:rPr>
                <w:sz w:val="18"/>
                <w:szCs w:val="18"/>
              </w:rPr>
            </w:pPr>
            <w:r w:rsidRPr="0058482D">
              <w:rPr>
                <w:sz w:val="18"/>
                <w:szCs w:val="18"/>
              </w:rPr>
              <w:t>Investicijų grąžos norma</w:t>
            </w:r>
          </w:p>
        </w:tc>
        <w:tc>
          <w:tcPr>
            <w:tcW w:w="119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50AE79C3" w14:textId="77777777" w:rsidR="005E4CF6" w:rsidRPr="0058482D" w:rsidRDefault="005E4CF6" w:rsidP="005F534C">
            <w:pPr>
              <w:jc w:val="center"/>
              <w:rPr>
                <w:color w:val="000000"/>
                <w:sz w:val="18"/>
                <w:szCs w:val="18"/>
              </w:rPr>
            </w:pPr>
            <w:r w:rsidRPr="0058482D">
              <w:rPr>
                <w:color w:val="000000"/>
                <w:sz w:val="18"/>
                <w:szCs w:val="18"/>
              </w:rPr>
              <w:t>proc.</w:t>
            </w:r>
          </w:p>
        </w:tc>
        <w:tc>
          <w:tcPr>
            <w:tcW w:w="2818" w:type="dxa"/>
            <w:tcBorders>
              <w:top w:val="nil"/>
              <w:left w:val="nil"/>
              <w:bottom w:val="single" w:sz="4" w:space="0" w:color="auto"/>
              <w:right w:val="single" w:sz="8" w:space="0" w:color="auto"/>
            </w:tcBorders>
            <w:noWrap/>
            <w:vAlign w:val="center"/>
            <w:hideMark/>
          </w:tcPr>
          <w:p w14:paraId="50821C22" w14:textId="77777777" w:rsidR="005E4CF6" w:rsidRPr="0058482D" w:rsidRDefault="005E4CF6" w:rsidP="005F534C">
            <w:pPr>
              <w:jc w:val="center"/>
              <w:rPr>
                <w:b/>
                <w:bCs/>
                <w:color w:val="000000"/>
                <w:sz w:val="18"/>
                <w:szCs w:val="18"/>
              </w:rPr>
            </w:pPr>
            <w:r w:rsidRPr="0058482D">
              <w:rPr>
                <w:b/>
                <w:bCs/>
                <w:color w:val="000000"/>
                <w:sz w:val="18"/>
                <w:szCs w:val="18"/>
              </w:rPr>
              <w:t>5,93</w:t>
            </w:r>
          </w:p>
        </w:tc>
        <w:tc>
          <w:tcPr>
            <w:tcW w:w="1508" w:type="dxa"/>
            <w:tcBorders>
              <w:top w:val="nil"/>
              <w:left w:val="nil"/>
              <w:bottom w:val="single" w:sz="4" w:space="0" w:color="auto"/>
              <w:right w:val="single" w:sz="8" w:space="0" w:color="auto"/>
            </w:tcBorders>
            <w:shd w:val="clear" w:color="000000" w:fill="FFFFFF"/>
            <w:noWrap/>
            <w:vAlign w:val="center"/>
            <w:hideMark/>
          </w:tcPr>
          <w:p w14:paraId="2A7E2C94" w14:textId="77777777" w:rsidR="005E4CF6" w:rsidRPr="0058482D" w:rsidRDefault="005E4CF6" w:rsidP="005F534C">
            <w:pPr>
              <w:jc w:val="center"/>
              <w:rPr>
                <w:b/>
                <w:bCs/>
                <w:color w:val="000000"/>
                <w:sz w:val="18"/>
                <w:szCs w:val="18"/>
              </w:rPr>
            </w:pPr>
            <w:r w:rsidRPr="0058482D">
              <w:rPr>
                <w:b/>
                <w:bCs/>
                <w:color w:val="000000"/>
                <w:sz w:val="18"/>
                <w:szCs w:val="18"/>
              </w:rPr>
              <w:t>5,96</w:t>
            </w:r>
          </w:p>
        </w:tc>
      </w:tr>
      <w:tr w:rsidR="005E4CF6" w:rsidRPr="0058482D" w14:paraId="21174635" w14:textId="77777777" w:rsidTr="005F534C">
        <w:trPr>
          <w:trHeight w:val="258"/>
        </w:trPr>
        <w:tc>
          <w:tcPr>
            <w:tcW w:w="553" w:type="dxa"/>
            <w:vMerge/>
            <w:tcBorders>
              <w:top w:val="nil"/>
              <w:left w:val="single" w:sz="8" w:space="0" w:color="auto"/>
              <w:bottom w:val="single" w:sz="4" w:space="0" w:color="000000"/>
              <w:right w:val="single" w:sz="4" w:space="0" w:color="auto"/>
            </w:tcBorders>
            <w:vAlign w:val="center"/>
            <w:hideMark/>
          </w:tcPr>
          <w:p w14:paraId="7F82D95A" w14:textId="77777777" w:rsidR="005E4CF6" w:rsidRPr="0058482D" w:rsidRDefault="005E4CF6" w:rsidP="005F534C">
            <w:pPr>
              <w:rPr>
                <w:color w:val="000000"/>
                <w:sz w:val="18"/>
                <w:szCs w:val="18"/>
              </w:rPr>
            </w:pPr>
          </w:p>
        </w:tc>
        <w:tc>
          <w:tcPr>
            <w:tcW w:w="848" w:type="dxa"/>
            <w:tcBorders>
              <w:top w:val="nil"/>
              <w:left w:val="nil"/>
              <w:bottom w:val="single" w:sz="4" w:space="0" w:color="auto"/>
              <w:right w:val="single" w:sz="4" w:space="0" w:color="auto"/>
            </w:tcBorders>
            <w:shd w:val="clear" w:color="000000" w:fill="FFFFFF"/>
            <w:noWrap/>
            <w:vAlign w:val="center"/>
            <w:hideMark/>
          </w:tcPr>
          <w:p w14:paraId="59D9417D" w14:textId="77777777" w:rsidR="005E4CF6" w:rsidRPr="0058482D" w:rsidRDefault="005E4CF6" w:rsidP="005F534C">
            <w:pPr>
              <w:jc w:val="center"/>
              <w:rPr>
                <w:sz w:val="18"/>
                <w:szCs w:val="18"/>
              </w:rPr>
            </w:pPr>
            <w:r w:rsidRPr="0058482D">
              <w:rPr>
                <w:sz w:val="18"/>
                <w:szCs w:val="18"/>
              </w:rPr>
              <w:t xml:space="preserve"> r</w:t>
            </w:r>
            <w:r w:rsidRPr="0058482D">
              <w:rPr>
                <w:sz w:val="18"/>
                <w:szCs w:val="18"/>
                <w:vertAlign w:val="superscript"/>
              </w:rPr>
              <w:t>GRE</w:t>
            </w:r>
          </w:p>
        </w:tc>
        <w:tc>
          <w:tcPr>
            <w:tcW w:w="2649" w:type="dxa"/>
            <w:vMerge/>
            <w:tcBorders>
              <w:top w:val="nil"/>
              <w:left w:val="nil"/>
              <w:bottom w:val="single" w:sz="4" w:space="0" w:color="auto"/>
              <w:right w:val="single" w:sz="4" w:space="0" w:color="auto"/>
            </w:tcBorders>
            <w:vAlign w:val="center"/>
            <w:hideMark/>
          </w:tcPr>
          <w:p w14:paraId="7EB2328C" w14:textId="77777777" w:rsidR="005E4CF6" w:rsidRPr="0058482D" w:rsidRDefault="005E4CF6" w:rsidP="005F534C">
            <w:pPr>
              <w:rPr>
                <w:sz w:val="18"/>
                <w:szCs w:val="18"/>
              </w:rPr>
            </w:pPr>
          </w:p>
        </w:tc>
        <w:tc>
          <w:tcPr>
            <w:tcW w:w="1195" w:type="dxa"/>
            <w:vMerge/>
            <w:tcBorders>
              <w:top w:val="nil"/>
              <w:left w:val="single" w:sz="8" w:space="0" w:color="auto"/>
              <w:bottom w:val="single" w:sz="4" w:space="0" w:color="000000"/>
              <w:right w:val="single" w:sz="8" w:space="0" w:color="auto"/>
            </w:tcBorders>
            <w:vAlign w:val="center"/>
            <w:hideMark/>
          </w:tcPr>
          <w:p w14:paraId="154A1268" w14:textId="77777777" w:rsidR="005E4CF6" w:rsidRPr="0058482D" w:rsidRDefault="005E4CF6" w:rsidP="005F534C">
            <w:pPr>
              <w:rPr>
                <w:color w:val="000000"/>
                <w:sz w:val="18"/>
                <w:szCs w:val="18"/>
              </w:rPr>
            </w:pPr>
          </w:p>
        </w:tc>
        <w:tc>
          <w:tcPr>
            <w:tcW w:w="2818" w:type="dxa"/>
            <w:tcBorders>
              <w:top w:val="nil"/>
              <w:left w:val="nil"/>
              <w:bottom w:val="single" w:sz="4" w:space="0" w:color="auto"/>
              <w:right w:val="single" w:sz="8" w:space="0" w:color="auto"/>
            </w:tcBorders>
            <w:noWrap/>
            <w:vAlign w:val="center"/>
            <w:hideMark/>
          </w:tcPr>
          <w:p w14:paraId="55B0E8D6" w14:textId="77777777" w:rsidR="005E4CF6" w:rsidRPr="0058482D" w:rsidRDefault="005E4CF6" w:rsidP="005F534C">
            <w:pPr>
              <w:jc w:val="center"/>
              <w:rPr>
                <w:b/>
                <w:bCs/>
                <w:sz w:val="18"/>
                <w:szCs w:val="18"/>
              </w:rPr>
            </w:pPr>
            <w:r w:rsidRPr="0058482D">
              <w:rPr>
                <w:b/>
                <w:bCs/>
                <w:sz w:val="18"/>
                <w:szCs w:val="18"/>
              </w:rPr>
              <w:t>7,06</w:t>
            </w:r>
          </w:p>
        </w:tc>
        <w:tc>
          <w:tcPr>
            <w:tcW w:w="1508" w:type="dxa"/>
            <w:tcBorders>
              <w:top w:val="nil"/>
              <w:left w:val="nil"/>
              <w:bottom w:val="single" w:sz="4" w:space="0" w:color="auto"/>
              <w:right w:val="single" w:sz="8" w:space="0" w:color="auto"/>
            </w:tcBorders>
            <w:shd w:val="clear" w:color="000000" w:fill="FFFFFF"/>
            <w:noWrap/>
            <w:vAlign w:val="center"/>
            <w:hideMark/>
          </w:tcPr>
          <w:p w14:paraId="7EE13766" w14:textId="77777777" w:rsidR="005E4CF6" w:rsidRPr="0058482D" w:rsidRDefault="005E4CF6" w:rsidP="005F534C">
            <w:pPr>
              <w:jc w:val="center"/>
              <w:rPr>
                <w:b/>
                <w:bCs/>
                <w:sz w:val="18"/>
                <w:szCs w:val="18"/>
              </w:rPr>
            </w:pPr>
            <w:r w:rsidRPr="0058482D">
              <w:rPr>
                <w:b/>
                <w:bCs/>
                <w:sz w:val="18"/>
                <w:szCs w:val="18"/>
              </w:rPr>
              <w:t>7,09</w:t>
            </w:r>
          </w:p>
        </w:tc>
      </w:tr>
      <w:tr w:rsidR="005E4CF6" w:rsidRPr="0058482D" w14:paraId="0C9574FA" w14:textId="77777777" w:rsidTr="005F534C">
        <w:trPr>
          <w:trHeight w:val="258"/>
        </w:trPr>
        <w:tc>
          <w:tcPr>
            <w:tcW w:w="553" w:type="dxa"/>
            <w:tcBorders>
              <w:top w:val="nil"/>
              <w:left w:val="single" w:sz="8" w:space="0" w:color="auto"/>
              <w:bottom w:val="single" w:sz="4" w:space="0" w:color="auto"/>
              <w:right w:val="single" w:sz="4" w:space="0" w:color="auto"/>
            </w:tcBorders>
            <w:shd w:val="clear" w:color="000000" w:fill="FFFFFF"/>
            <w:noWrap/>
            <w:vAlign w:val="center"/>
            <w:hideMark/>
          </w:tcPr>
          <w:p w14:paraId="14ED265D" w14:textId="77777777" w:rsidR="005E4CF6" w:rsidRPr="0058482D" w:rsidRDefault="005E4CF6" w:rsidP="005F534C">
            <w:pPr>
              <w:jc w:val="center"/>
              <w:rPr>
                <w:color w:val="000000"/>
                <w:sz w:val="18"/>
                <w:szCs w:val="18"/>
              </w:rPr>
            </w:pPr>
            <w:r w:rsidRPr="0058482D">
              <w:rPr>
                <w:color w:val="000000"/>
                <w:sz w:val="18"/>
                <w:szCs w:val="18"/>
              </w:rPr>
              <w:t>1.1.</w:t>
            </w:r>
          </w:p>
        </w:tc>
        <w:tc>
          <w:tcPr>
            <w:tcW w:w="848" w:type="dxa"/>
            <w:tcBorders>
              <w:top w:val="nil"/>
              <w:left w:val="nil"/>
              <w:bottom w:val="single" w:sz="4" w:space="0" w:color="auto"/>
              <w:right w:val="single" w:sz="4" w:space="0" w:color="auto"/>
            </w:tcBorders>
            <w:shd w:val="clear" w:color="000000" w:fill="FFFFFF"/>
            <w:noWrap/>
            <w:vAlign w:val="center"/>
            <w:hideMark/>
          </w:tcPr>
          <w:p w14:paraId="68E57FB8" w14:textId="77777777" w:rsidR="005E4CF6" w:rsidRPr="0058482D" w:rsidRDefault="005E4CF6" w:rsidP="005F534C">
            <w:pPr>
              <w:jc w:val="center"/>
              <w:rPr>
                <w:sz w:val="18"/>
                <w:szCs w:val="18"/>
              </w:rPr>
            </w:pPr>
            <w:r w:rsidRPr="0058482D">
              <w:rPr>
                <w:sz w:val="18"/>
                <w:szCs w:val="18"/>
              </w:rPr>
              <w:t>W</w:t>
            </w:r>
            <w:r w:rsidRPr="0058482D">
              <w:rPr>
                <w:sz w:val="18"/>
                <w:szCs w:val="18"/>
                <w:vertAlign w:val="subscript"/>
              </w:rPr>
              <w:t>D</w:t>
            </w:r>
          </w:p>
        </w:tc>
        <w:tc>
          <w:tcPr>
            <w:tcW w:w="2649" w:type="dxa"/>
            <w:tcBorders>
              <w:top w:val="single" w:sz="4" w:space="0" w:color="auto"/>
              <w:left w:val="nil"/>
              <w:bottom w:val="single" w:sz="4" w:space="0" w:color="auto"/>
              <w:right w:val="single" w:sz="4" w:space="0" w:color="auto"/>
            </w:tcBorders>
            <w:shd w:val="clear" w:color="000000" w:fill="FFFFFF"/>
            <w:noWrap/>
            <w:vAlign w:val="center"/>
            <w:hideMark/>
          </w:tcPr>
          <w:p w14:paraId="4761B00D" w14:textId="77777777" w:rsidR="005E4CF6" w:rsidRPr="0058482D" w:rsidRDefault="005E4CF6" w:rsidP="005F534C">
            <w:pPr>
              <w:rPr>
                <w:sz w:val="18"/>
                <w:szCs w:val="18"/>
              </w:rPr>
            </w:pPr>
            <w:r w:rsidRPr="0058482D">
              <w:rPr>
                <w:sz w:val="18"/>
                <w:szCs w:val="18"/>
              </w:rPr>
              <w:t>Skolintas kapitalas</w:t>
            </w:r>
          </w:p>
        </w:tc>
        <w:tc>
          <w:tcPr>
            <w:tcW w:w="1195" w:type="dxa"/>
            <w:tcBorders>
              <w:top w:val="nil"/>
              <w:left w:val="single" w:sz="8" w:space="0" w:color="auto"/>
              <w:bottom w:val="single" w:sz="4" w:space="0" w:color="auto"/>
              <w:right w:val="single" w:sz="8" w:space="0" w:color="auto"/>
            </w:tcBorders>
            <w:shd w:val="clear" w:color="000000" w:fill="FFFFFF"/>
            <w:noWrap/>
            <w:vAlign w:val="center"/>
            <w:hideMark/>
          </w:tcPr>
          <w:p w14:paraId="09ABC662" w14:textId="77777777" w:rsidR="005E4CF6" w:rsidRPr="0058482D" w:rsidRDefault="005E4CF6" w:rsidP="005F534C">
            <w:pPr>
              <w:jc w:val="center"/>
              <w:rPr>
                <w:sz w:val="18"/>
                <w:szCs w:val="18"/>
              </w:rPr>
            </w:pPr>
            <w:r w:rsidRPr="0058482D">
              <w:rPr>
                <w:sz w:val="18"/>
                <w:szCs w:val="18"/>
              </w:rPr>
              <w:t>vnt. dalimis</w:t>
            </w:r>
          </w:p>
        </w:tc>
        <w:tc>
          <w:tcPr>
            <w:tcW w:w="2818" w:type="dxa"/>
            <w:tcBorders>
              <w:top w:val="nil"/>
              <w:left w:val="nil"/>
              <w:bottom w:val="single" w:sz="4" w:space="0" w:color="auto"/>
              <w:right w:val="single" w:sz="8" w:space="0" w:color="auto"/>
            </w:tcBorders>
            <w:noWrap/>
            <w:vAlign w:val="center"/>
            <w:hideMark/>
          </w:tcPr>
          <w:p w14:paraId="1DE6410C" w14:textId="77777777" w:rsidR="005E4CF6" w:rsidRPr="0058482D" w:rsidRDefault="005E4CF6" w:rsidP="005F534C">
            <w:pPr>
              <w:jc w:val="center"/>
              <w:rPr>
                <w:color w:val="000000"/>
                <w:sz w:val="18"/>
                <w:szCs w:val="18"/>
              </w:rPr>
            </w:pPr>
            <w:r w:rsidRPr="0058482D">
              <w:rPr>
                <w:color w:val="000000"/>
                <w:sz w:val="18"/>
                <w:szCs w:val="18"/>
              </w:rPr>
              <w:t>0,60</w:t>
            </w:r>
          </w:p>
        </w:tc>
        <w:tc>
          <w:tcPr>
            <w:tcW w:w="1508" w:type="dxa"/>
            <w:tcBorders>
              <w:top w:val="nil"/>
              <w:left w:val="nil"/>
              <w:bottom w:val="single" w:sz="4" w:space="0" w:color="auto"/>
              <w:right w:val="single" w:sz="8" w:space="0" w:color="auto"/>
            </w:tcBorders>
            <w:noWrap/>
            <w:vAlign w:val="center"/>
            <w:hideMark/>
          </w:tcPr>
          <w:p w14:paraId="255A199D" w14:textId="77777777" w:rsidR="005E4CF6" w:rsidRPr="0058482D" w:rsidRDefault="005E4CF6" w:rsidP="005F534C">
            <w:pPr>
              <w:jc w:val="center"/>
              <w:rPr>
                <w:color w:val="000000"/>
                <w:sz w:val="18"/>
                <w:szCs w:val="18"/>
              </w:rPr>
            </w:pPr>
            <w:r w:rsidRPr="0058482D">
              <w:rPr>
                <w:color w:val="000000"/>
                <w:sz w:val="18"/>
                <w:szCs w:val="18"/>
              </w:rPr>
              <w:t>0,60</w:t>
            </w:r>
          </w:p>
        </w:tc>
      </w:tr>
      <w:tr w:rsidR="005E4CF6" w:rsidRPr="0058482D" w14:paraId="4CD6DDB4" w14:textId="77777777" w:rsidTr="005F534C">
        <w:trPr>
          <w:trHeight w:val="258"/>
        </w:trPr>
        <w:tc>
          <w:tcPr>
            <w:tcW w:w="553" w:type="dxa"/>
            <w:tcBorders>
              <w:top w:val="nil"/>
              <w:left w:val="single" w:sz="8" w:space="0" w:color="auto"/>
              <w:bottom w:val="single" w:sz="4" w:space="0" w:color="auto"/>
              <w:right w:val="single" w:sz="4" w:space="0" w:color="auto"/>
            </w:tcBorders>
            <w:shd w:val="clear" w:color="000000" w:fill="FFFFFF"/>
            <w:noWrap/>
            <w:vAlign w:val="center"/>
            <w:hideMark/>
          </w:tcPr>
          <w:p w14:paraId="5CB56599" w14:textId="77777777" w:rsidR="005E4CF6" w:rsidRPr="0058482D" w:rsidRDefault="005E4CF6" w:rsidP="005F534C">
            <w:pPr>
              <w:jc w:val="center"/>
              <w:rPr>
                <w:color w:val="000000"/>
                <w:sz w:val="18"/>
                <w:szCs w:val="18"/>
              </w:rPr>
            </w:pPr>
            <w:r w:rsidRPr="0058482D">
              <w:rPr>
                <w:color w:val="000000"/>
                <w:sz w:val="18"/>
                <w:szCs w:val="18"/>
              </w:rPr>
              <w:t>1.2.</w:t>
            </w:r>
          </w:p>
        </w:tc>
        <w:tc>
          <w:tcPr>
            <w:tcW w:w="848" w:type="dxa"/>
            <w:tcBorders>
              <w:top w:val="nil"/>
              <w:left w:val="nil"/>
              <w:bottom w:val="single" w:sz="4" w:space="0" w:color="auto"/>
              <w:right w:val="single" w:sz="4" w:space="0" w:color="auto"/>
            </w:tcBorders>
            <w:shd w:val="clear" w:color="000000" w:fill="FFFFFF"/>
            <w:noWrap/>
            <w:vAlign w:val="center"/>
            <w:hideMark/>
          </w:tcPr>
          <w:p w14:paraId="36078310" w14:textId="77777777" w:rsidR="005E4CF6" w:rsidRPr="0058482D" w:rsidRDefault="005E4CF6" w:rsidP="005F534C">
            <w:pPr>
              <w:jc w:val="center"/>
              <w:rPr>
                <w:sz w:val="18"/>
                <w:szCs w:val="18"/>
              </w:rPr>
            </w:pPr>
            <w:r w:rsidRPr="0058482D">
              <w:rPr>
                <w:sz w:val="18"/>
                <w:szCs w:val="18"/>
              </w:rPr>
              <w:t>W</w:t>
            </w:r>
            <w:r w:rsidRPr="0058482D">
              <w:rPr>
                <w:sz w:val="18"/>
                <w:szCs w:val="18"/>
                <w:vertAlign w:val="subscript"/>
              </w:rPr>
              <w:t>E</w:t>
            </w:r>
          </w:p>
        </w:tc>
        <w:tc>
          <w:tcPr>
            <w:tcW w:w="2649" w:type="dxa"/>
            <w:tcBorders>
              <w:top w:val="single" w:sz="4" w:space="0" w:color="auto"/>
              <w:left w:val="nil"/>
              <w:bottom w:val="single" w:sz="4" w:space="0" w:color="auto"/>
              <w:right w:val="single" w:sz="4" w:space="0" w:color="auto"/>
            </w:tcBorders>
            <w:shd w:val="clear" w:color="000000" w:fill="FFFFFF"/>
            <w:noWrap/>
            <w:vAlign w:val="center"/>
            <w:hideMark/>
          </w:tcPr>
          <w:p w14:paraId="593BC68A" w14:textId="77777777" w:rsidR="005E4CF6" w:rsidRPr="0058482D" w:rsidRDefault="005E4CF6" w:rsidP="005F534C">
            <w:pPr>
              <w:rPr>
                <w:sz w:val="18"/>
                <w:szCs w:val="18"/>
              </w:rPr>
            </w:pPr>
            <w:r w:rsidRPr="0058482D">
              <w:rPr>
                <w:sz w:val="18"/>
                <w:szCs w:val="18"/>
              </w:rPr>
              <w:t>Nuosavas kapitalas</w:t>
            </w:r>
          </w:p>
        </w:tc>
        <w:tc>
          <w:tcPr>
            <w:tcW w:w="1195" w:type="dxa"/>
            <w:tcBorders>
              <w:top w:val="nil"/>
              <w:left w:val="single" w:sz="8" w:space="0" w:color="auto"/>
              <w:bottom w:val="single" w:sz="4" w:space="0" w:color="auto"/>
              <w:right w:val="single" w:sz="8" w:space="0" w:color="auto"/>
            </w:tcBorders>
            <w:shd w:val="clear" w:color="000000" w:fill="FFFFFF"/>
            <w:noWrap/>
            <w:vAlign w:val="center"/>
            <w:hideMark/>
          </w:tcPr>
          <w:p w14:paraId="653C9225" w14:textId="77777777" w:rsidR="005E4CF6" w:rsidRPr="0058482D" w:rsidRDefault="005E4CF6" w:rsidP="005F534C">
            <w:pPr>
              <w:jc w:val="center"/>
              <w:rPr>
                <w:sz w:val="18"/>
                <w:szCs w:val="18"/>
              </w:rPr>
            </w:pPr>
            <w:r w:rsidRPr="0058482D">
              <w:rPr>
                <w:sz w:val="18"/>
                <w:szCs w:val="18"/>
              </w:rPr>
              <w:t>vnt. dalimis</w:t>
            </w:r>
          </w:p>
        </w:tc>
        <w:tc>
          <w:tcPr>
            <w:tcW w:w="2818" w:type="dxa"/>
            <w:tcBorders>
              <w:top w:val="nil"/>
              <w:left w:val="nil"/>
              <w:bottom w:val="single" w:sz="4" w:space="0" w:color="auto"/>
              <w:right w:val="single" w:sz="8" w:space="0" w:color="auto"/>
            </w:tcBorders>
            <w:noWrap/>
            <w:vAlign w:val="center"/>
            <w:hideMark/>
          </w:tcPr>
          <w:p w14:paraId="5FBF7280" w14:textId="77777777" w:rsidR="005E4CF6" w:rsidRPr="0058482D" w:rsidRDefault="005E4CF6" w:rsidP="005F534C">
            <w:pPr>
              <w:jc w:val="center"/>
              <w:rPr>
                <w:color w:val="000000"/>
                <w:sz w:val="18"/>
                <w:szCs w:val="18"/>
              </w:rPr>
            </w:pPr>
            <w:r w:rsidRPr="0058482D">
              <w:rPr>
                <w:color w:val="000000"/>
                <w:sz w:val="18"/>
                <w:szCs w:val="18"/>
              </w:rPr>
              <w:t>0,40</w:t>
            </w:r>
          </w:p>
        </w:tc>
        <w:tc>
          <w:tcPr>
            <w:tcW w:w="1508" w:type="dxa"/>
            <w:tcBorders>
              <w:top w:val="nil"/>
              <w:left w:val="nil"/>
              <w:bottom w:val="single" w:sz="4" w:space="0" w:color="auto"/>
              <w:right w:val="single" w:sz="8" w:space="0" w:color="auto"/>
            </w:tcBorders>
            <w:noWrap/>
            <w:vAlign w:val="center"/>
            <w:hideMark/>
          </w:tcPr>
          <w:p w14:paraId="4E988944" w14:textId="77777777" w:rsidR="005E4CF6" w:rsidRPr="0058482D" w:rsidRDefault="005E4CF6" w:rsidP="005F534C">
            <w:pPr>
              <w:jc w:val="center"/>
              <w:rPr>
                <w:color w:val="000000"/>
                <w:sz w:val="18"/>
                <w:szCs w:val="18"/>
              </w:rPr>
            </w:pPr>
            <w:r w:rsidRPr="0058482D">
              <w:rPr>
                <w:color w:val="000000"/>
                <w:sz w:val="18"/>
                <w:szCs w:val="18"/>
              </w:rPr>
              <w:t>0,40</w:t>
            </w:r>
          </w:p>
        </w:tc>
      </w:tr>
      <w:tr w:rsidR="005E4CF6" w:rsidRPr="0058482D" w14:paraId="64B0A325" w14:textId="77777777" w:rsidTr="005F534C">
        <w:trPr>
          <w:trHeight w:val="258"/>
        </w:trPr>
        <w:tc>
          <w:tcPr>
            <w:tcW w:w="553" w:type="dxa"/>
            <w:tcBorders>
              <w:top w:val="nil"/>
              <w:left w:val="single" w:sz="8" w:space="0" w:color="auto"/>
              <w:bottom w:val="single" w:sz="4" w:space="0" w:color="auto"/>
              <w:right w:val="single" w:sz="4" w:space="0" w:color="auto"/>
            </w:tcBorders>
            <w:shd w:val="clear" w:color="000000" w:fill="FFFFFF"/>
            <w:noWrap/>
            <w:vAlign w:val="center"/>
            <w:hideMark/>
          </w:tcPr>
          <w:p w14:paraId="6A0420B9" w14:textId="77777777" w:rsidR="005E4CF6" w:rsidRPr="0058482D" w:rsidRDefault="005E4CF6" w:rsidP="005F534C">
            <w:pPr>
              <w:jc w:val="center"/>
              <w:rPr>
                <w:color w:val="000000"/>
                <w:sz w:val="18"/>
                <w:szCs w:val="18"/>
              </w:rPr>
            </w:pPr>
            <w:r w:rsidRPr="0058482D">
              <w:rPr>
                <w:color w:val="000000"/>
                <w:sz w:val="18"/>
                <w:szCs w:val="18"/>
              </w:rPr>
              <w:t>1.3.</w:t>
            </w:r>
          </w:p>
        </w:tc>
        <w:tc>
          <w:tcPr>
            <w:tcW w:w="848" w:type="dxa"/>
            <w:tcBorders>
              <w:top w:val="nil"/>
              <w:left w:val="nil"/>
              <w:bottom w:val="single" w:sz="4" w:space="0" w:color="auto"/>
              <w:right w:val="single" w:sz="4" w:space="0" w:color="auto"/>
            </w:tcBorders>
            <w:shd w:val="clear" w:color="000000" w:fill="FFFFFF"/>
            <w:noWrap/>
            <w:vAlign w:val="center"/>
            <w:hideMark/>
          </w:tcPr>
          <w:p w14:paraId="3B684D59" w14:textId="77777777" w:rsidR="005E4CF6" w:rsidRPr="0058482D" w:rsidRDefault="005E4CF6" w:rsidP="005F534C">
            <w:pPr>
              <w:jc w:val="center"/>
              <w:rPr>
                <w:sz w:val="18"/>
                <w:szCs w:val="18"/>
              </w:rPr>
            </w:pPr>
            <w:r w:rsidRPr="0058482D">
              <w:rPr>
                <w:sz w:val="18"/>
                <w:szCs w:val="18"/>
              </w:rPr>
              <w:t>R</w:t>
            </w:r>
            <w:r w:rsidRPr="0058482D">
              <w:rPr>
                <w:sz w:val="18"/>
                <w:szCs w:val="18"/>
                <w:vertAlign w:val="subscript"/>
              </w:rPr>
              <w:t>d</w:t>
            </w:r>
          </w:p>
        </w:tc>
        <w:tc>
          <w:tcPr>
            <w:tcW w:w="2649" w:type="dxa"/>
            <w:tcBorders>
              <w:top w:val="single" w:sz="4" w:space="0" w:color="auto"/>
              <w:left w:val="nil"/>
              <w:bottom w:val="single" w:sz="4" w:space="0" w:color="auto"/>
              <w:right w:val="single" w:sz="4" w:space="0" w:color="auto"/>
            </w:tcBorders>
            <w:shd w:val="clear" w:color="000000" w:fill="FFFFFF"/>
            <w:noWrap/>
            <w:vAlign w:val="center"/>
            <w:hideMark/>
          </w:tcPr>
          <w:p w14:paraId="2B6C17A4" w14:textId="77777777" w:rsidR="005E4CF6" w:rsidRPr="0058482D" w:rsidRDefault="005E4CF6" w:rsidP="005F534C">
            <w:pPr>
              <w:rPr>
                <w:sz w:val="18"/>
                <w:szCs w:val="18"/>
              </w:rPr>
            </w:pPr>
            <w:r w:rsidRPr="0058482D">
              <w:rPr>
                <w:sz w:val="18"/>
                <w:szCs w:val="18"/>
              </w:rPr>
              <w:t xml:space="preserve">Skolinto kapitalo kaina </w:t>
            </w:r>
          </w:p>
        </w:tc>
        <w:tc>
          <w:tcPr>
            <w:tcW w:w="1195" w:type="dxa"/>
            <w:tcBorders>
              <w:top w:val="nil"/>
              <w:left w:val="single" w:sz="8" w:space="0" w:color="auto"/>
              <w:bottom w:val="single" w:sz="4" w:space="0" w:color="auto"/>
              <w:right w:val="single" w:sz="8" w:space="0" w:color="auto"/>
            </w:tcBorders>
            <w:shd w:val="clear" w:color="000000" w:fill="FFFFFF"/>
            <w:noWrap/>
            <w:vAlign w:val="center"/>
            <w:hideMark/>
          </w:tcPr>
          <w:p w14:paraId="6CD3ACEB" w14:textId="77777777" w:rsidR="005E4CF6" w:rsidRPr="0058482D" w:rsidRDefault="005E4CF6" w:rsidP="005F534C">
            <w:pPr>
              <w:jc w:val="center"/>
              <w:rPr>
                <w:color w:val="000000"/>
                <w:sz w:val="18"/>
                <w:szCs w:val="18"/>
              </w:rPr>
            </w:pPr>
            <w:r w:rsidRPr="0058482D">
              <w:rPr>
                <w:color w:val="000000"/>
                <w:sz w:val="18"/>
                <w:szCs w:val="18"/>
              </w:rPr>
              <w:t>proc.</w:t>
            </w:r>
          </w:p>
        </w:tc>
        <w:tc>
          <w:tcPr>
            <w:tcW w:w="2818" w:type="dxa"/>
            <w:tcBorders>
              <w:top w:val="nil"/>
              <w:left w:val="nil"/>
              <w:bottom w:val="single" w:sz="4" w:space="0" w:color="auto"/>
              <w:right w:val="single" w:sz="8" w:space="0" w:color="auto"/>
            </w:tcBorders>
            <w:noWrap/>
            <w:vAlign w:val="center"/>
            <w:hideMark/>
          </w:tcPr>
          <w:p w14:paraId="0F9D9202" w14:textId="77777777" w:rsidR="005E4CF6" w:rsidRPr="0058482D" w:rsidRDefault="005E4CF6" w:rsidP="005F534C">
            <w:pPr>
              <w:jc w:val="center"/>
              <w:rPr>
                <w:color w:val="000000"/>
                <w:sz w:val="18"/>
                <w:szCs w:val="18"/>
              </w:rPr>
            </w:pPr>
            <w:r w:rsidRPr="0058482D">
              <w:rPr>
                <w:color w:val="000000"/>
                <w:sz w:val="18"/>
                <w:szCs w:val="18"/>
              </w:rPr>
              <w:t>4,951</w:t>
            </w:r>
          </w:p>
        </w:tc>
        <w:tc>
          <w:tcPr>
            <w:tcW w:w="1508" w:type="dxa"/>
            <w:tcBorders>
              <w:top w:val="nil"/>
              <w:left w:val="nil"/>
              <w:bottom w:val="single" w:sz="4" w:space="0" w:color="auto"/>
              <w:right w:val="single" w:sz="8" w:space="0" w:color="auto"/>
            </w:tcBorders>
            <w:noWrap/>
            <w:vAlign w:val="center"/>
            <w:hideMark/>
          </w:tcPr>
          <w:p w14:paraId="2AF71A17" w14:textId="77777777" w:rsidR="005E4CF6" w:rsidRPr="0058482D" w:rsidRDefault="005E4CF6" w:rsidP="005F534C">
            <w:pPr>
              <w:jc w:val="center"/>
              <w:rPr>
                <w:color w:val="000000"/>
                <w:sz w:val="18"/>
                <w:szCs w:val="18"/>
              </w:rPr>
            </w:pPr>
            <w:r w:rsidRPr="0058482D">
              <w:rPr>
                <w:color w:val="000000"/>
                <w:sz w:val="18"/>
                <w:szCs w:val="18"/>
              </w:rPr>
              <w:t>4,951</w:t>
            </w:r>
          </w:p>
        </w:tc>
      </w:tr>
      <w:tr w:rsidR="005E4CF6" w:rsidRPr="0058482D" w14:paraId="69065C44" w14:textId="77777777" w:rsidTr="005F534C">
        <w:trPr>
          <w:trHeight w:val="258"/>
        </w:trPr>
        <w:tc>
          <w:tcPr>
            <w:tcW w:w="553"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676FA485" w14:textId="77777777" w:rsidR="005E4CF6" w:rsidRPr="0058482D" w:rsidRDefault="005E4CF6" w:rsidP="005F534C">
            <w:pPr>
              <w:jc w:val="center"/>
              <w:rPr>
                <w:color w:val="000000"/>
                <w:sz w:val="18"/>
                <w:szCs w:val="18"/>
              </w:rPr>
            </w:pPr>
            <w:r w:rsidRPr="0058482D">
              <w:rPr>
                <w:color w:val="000000"/>
                <w:sz w:val="18"/>
                <w:szCs w:val="18"/>
              </w:rPr>
              <w:t>1.4.</w:t>
            </w:r>
          </w:p>
        </w:tc>
        <w:tc>
          <w:tcPr>
            <w:tcW w:w="848" w:type="dxa"/>
            <w:tcBorders>
              <w:top w:val="nil"/>
              <w:left w:val="nil"/>
              <w:bottom w:val="single" w:sz="4" w:space="0" w:color="auto"/>
              <w:right w:val="single" w:sz="4" w:space="0" w:color="auto"/>
            </w:tcBorders>
            <w:shd w:val="clear" w:color="000000" w:fill="FFFFFF"/>
            <w:noWrap/>
            <w:vAlign w:val="center"/>
            <w:hideMark/>
          </w:tcPr>
          <w:p w14:paraId="4107799A" w14:textId="77777777" w:rsidR="005E4CF6" w:rsidRPr="0058482D" w:rsidRDefault="005E4CF6" w:rsidP="005F534C">
            <w:pPr>
              <w:jc w:val="center"/>
              <w:rPr>
                <w:sz w:val="18"/>
                <w:szCs w:val="18"/>
              </w:rPr>
            </w:pPr>
            <w:r w:rsidRPr="0058482D">
              <w:rPr>
                <w:sz w:val="18"/>
                <w:szCs w:val="18"/>
              </w:rPr>
              <w:t>R</w:t>
            </w:r>
            <w:r w:rsidRPr="0058482D">
              <w:rPr>
                <w:sz w:val="18"/>
                <w:szCs w:val="18"/>
                <w:vertAlign w:val="subscript"/>
              </w:rPr>
              <w:t>e</w:t>
            </w:r>
          </w:p>
        </w:tc>
        <w:tc>
          <w:tcPr>
            <w:tcW w:w="2649" w:type="dxa"/>
            <w:vMerge w:val="restart"/>
            <w:tcBorders>
              <w:top w:val="single" w:sz="4" w:space="0" w:color="auto"/>
              <w:left w:val="single" w:sz="4" w:space="0" w:color="auto"/>
              <w:bottom w:val="single" w:sz="4" w:space="0" w:color="000000"/>
              <w:right w:val="single" w:sz="8" w:space="0" w:color="000000"/>
            </w:tcBorders>
            <w:shd w:val="clear" w:color="000000" w:fill="FFFFFF"/>
            <w:noWrap/>
            <w:vAlign w:val="center"/>
            <w:hideMark/>
          </w:tcPr>
          <w:p w14:paraId="56D0E961" w14:textId="77777777" w:rsidR="005E4CF6" w:rsidRPr="0058482D" w:rsidRDefault="005E4CF6" w:rsidP="005F534C">
            <w:pPr>
              <w:rPr>
                <w:sz w:val="18"/>
                <w:szCs w:val="18"/>
              </w:rPr>
            </w:pPr>
            <w:r w:rsidRPr="0058482D">
              <w:rPr>
                <w:sz w:val="18"/>
                <w:szCs w:val="18"/>
              </w:rPr>
              <w:t>Nuosavo kapitalo grąža</w:t>
            </w:r>
          </w:p>
        </w:tc>
        <w:tc>
          <w:tcPr>
            <w:tcW w:w="119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2795FF50" w14:textId="77777777" w:rsidR="005E4CF6" w:rsidRPr="0058482D" w:rsidRDefault="005E4CF6" w:rsidP="005F534C">
            <w:pPr>
              <w:jc w:val="center"/>
              <w:rPr>
                <w:color w:val="000000"/>
                <w:sz w:val="18"/>
                <w:szCs w:val="18"/>
              </w:rPr>
            </w:pPr>
            <w:r w:rsidRPr="0058482D">
              <w:rPr>
                <w:color w:val="000000"/>
                <w:sz w:val="18"/>
                <w:szCs w:val="18"/>
              </w:rPr>
              <w:t>proc.</w:t>
            </w:r>
          </w:p>
        </w:tc>
        <w:tc>
          <w:tcPr>
            <w:tcW w:w="2818" w:type="dxa"/>
            <w:tcBorders>
              <w:top w:val="nil"/>
              <w:left w:val="nil"/>
              <w:bottom w:val="single" w:sz="4" w:space="0" w:color="auto"/>
              <w:right w:val="single" w:sz="8" w:space="0" w:color="auto"/>
            </w:tcBorders>
            <w:noWrap/>
            <w:vAlign w:val="center"/>
            <w:hideMark/>
          </w:tcPr>
          <w:p w14:paraId="40706812" w14:textId="77777777" w:rsidR="005E4CF6" w:rsidRPr="0058482D" w:rsidRDefault="005E4CF6" w:rsidP="005F534C">
            <w:pPr>
              <w:jc w:val="center"/>
              <w:rPr>
                <w:color w:val="000000"/>
                <w:sz w:val="18"/>
                <w:szCs w:val="18"/>
              </w:rPr>
            </w:pPr>
            <w:r w:rsidRPr="0058482D">
              <w:rPr>
                <w:color w:val="000000"/>
                <w:sz w:val="18"/>
                <w:szCs w:val="18"/>
              </w:rPr>
              <w:t>6,299</w:t>
            </w:r>
          </w:p>
        </w:tc>
        <w:tc>
          <w:tcPr>
            <w:tcW w:w="1508" w:type="dxa"/>
            <w:tcBorders>
              <w:top w:val="nil"/>
              <w:left w:val="nil"/>
              <w:bottom w:val="single" w:sz="4" w:space="0" w:color="auto"/>
              <w:right w:val="single" w:sz="8" w:space="0" w:color="auto"/>
            </w:tcBorders>
            <w:noWrap/>
            <w:vAlign w:val="center"/>
            <w:hideMark/>
          </w:tcPr>
          <w:p w14:paraId="3355435F" w14:textId="77777777" w:rsidR="005E4CF6" w:rsidRPr="0058482D" w:rsidRDefault="005E4CF6" w:rsidP="005F534C">
            <w:pPr>
              <w:jc w:val="center"/>
              <w:rPr>
                <w:color w:val="000000"/>
                <w:sz w:val="18"/>
                <w:szCs w:val="18"/>
              </w:rPr>
            </w:pPr>
            <w:r w:rsidRPr="0058482D">
              <w:rPr>
                <w:color w:val="000000"/>
                <w:sz w:val="18"/>
                <w:szCs w:val="18"/>
              </w:rPr>
              <w:t>6,283</w:t>
            </w:r>
          </w:p>
        </w:tc>
      </w:tr>
      <w:tr w:rsidR="005E4CF6" w:rsidRPr="0058482D" w14:paraId="303FE953" w14:textId="77777777" w:rsidTr="005F534C">
        <w:trPr>
          <w:trHeight w:val="258"/>
        </w:trPr>
        <w:tc>
          <w:tcPr>
            <w:tcW w:w="553" w:type="dxa"/>
            <w:vMerge/>
            <w:tcBorders>
              <w:top w:val="nil"/>
              <w:left w:val="single" w:sz="8" w:space="0" w:color="auto"/>
              <w:bottom w:val="single" w:sz="4" w:space="0" w:color="000000"/>
              <w:right w:val="single" w:sz="4" w:space="0" w:color="auto"/>
            </w:tcBorders>
            <w:vAlign w:val="center"/>
            <w:hideMark/>
          </w:tcPr>
          <w:p w14:paraId="340E84DB" w14:textId="77777777" w:rsidR="005E4CF6" w:rsidRPr="0058482D" w:rsidRDefault="005E4CF6" w:rsidP="005F534C">
            <w:pPr>
              <w:rPr>
                <w:color w:val="000000"/>
                <w:sz w:val="18"/>
                <w:szCs w:val="18"/>
              </w:rPr>
            </w:pPr>
          </w:p>
        </w:tc>
        <w:tc>
          <w:tcPr>
            <w:tcW w:w="848" w:type="dxa"/>
            <w:tcBorders>
              <w:top w:val="nil"/>
              <w:left w:val="nil"/>
              <w:bottom w:val="single" w:sz="4" w:space="0" w:color="auto"/>
              <w:right w:val="single" w:sz="4" w:space="0" w:color="auto"/>
            </w:tcBorders>
            <w:shd w:val="clear" w:color="000000" w:fill="FFFFFF"/>
            <w:noWrap/>
            <w:vAlign w:val="center"/>
            <w:hideMark/>
          </w:tcPr>
          <w:p w14:paraId="2C0B8B78" w14:textId="77777777" w:rsidR="005E4CF6" w:rsidRPr="0058482D" w:rsidRDefault="005E4CF6" w:rsidP="005F534C">
            <w:pPr>
              <w:jc w:val="center"/>
              <w:rPr>
                <w:sz w:val="18"/>
                <w:szCs w:val="18"/>
              </w:rPr>
            </w:pPr>
            <w:r w:rsidRPr="0058482D">
              <w:rPr>
                <w:sz w:val="18"/>
                <w:szCs w:val="18"/>
              </w:rPr>
              <w:t>R</w:t>
            </w:r>
            <w:r w:rsidRPr="0058482D">
              <w:rPr>
                <w:sz w:val="18"/>
                <w:szCs w:val="18"/>
                <w:vertAlign w:val="subscript"/>
              </w:rPr>
              <w:t>e</w:t>
            </w:r>
            <w:r w:rsidRPr="0058482D">
              <w:rPr>
                <w:sz w:val="18"/>
                <w:szCs w:val="18"/>
                <w:vertAlign w:val="superscript"/>
              </w:rPr>
              <w:t>GRE</w:t>
            </w:r>
          </w:p>
        </w:tc>
        <w:tc>
          <w:tcPr>
            <w:tcW w:w="2649" w:type="dxa"/>
            <w:vMerge/>
            <w:tcBorders>
              <w:top w:val="nil"/>
              <w:left w:val="nil"/>
              <w:bottom w:val="single" w:sz="4" w:space="0" w:color="auto"/>
              <w:right w:val="single" w:sz="4" w:space="0" w:color="auto"/>
            </w:tcBorders>
            <w:vAlign w:val="center"/>
            <w:hideMark/>
          </w:tcPr>
          <w:p w14:paraId="51F24020" w14:textId="77777777" w:rsidR="005E4CF6" w:rsidRPr="0058482D" w:rsidRDefault="005E4CF6" w:rsidP="005F534C">
            <w:pPr>
              <w:rPr>
                <w:sz w:val="18"/>
                <w:szCs w:val="18"/>
              </w:rPr>
            </w:pPr>
          </w:p>
        </w:tc>
        <w:tc>
          <w:tcPr>
            <w:tcW w:w="1195" w:type="dxa"/>
            <w:vMerge/>
            <w:tcBorders>
              <w:top w:val="nil"/>
              <w:left w:val="single" w:sz="8" w:space="0" w:color="auto"/>
              <w:bottom w:val="single" w:sz="4" w:space="0" w:color="000000"/>
              <w:right w:val="single" w:sz="8" w:space="0" w:color="auto"/>
            </w:tcBorders>
            <w:vAlign w:val="center"/>
            <w:hideMark/>
          </w:tcPr>
          <w:p w14:paraId="5592FB0B" w14:textId="77777777" w:rsidR="005E4CF6" w:rsidRPr="0058482D" w:rsidRDefault="005E4CF6" w:rsidP="005F534C">
            <w:pPr>
              <w:rPr>
                <w:color w:val="000000"/>
                <w:sz w:val="18"/>
                <w:szCs w:val="18"/>
              </w:rPr>
            </w:pPr>
          </w:p>
        </w:tc>
        <w:tc>
          <w:tcPr>
            <w:tcW w:w="2818" w:type="dxa"/>
            <w:tcBorders>
              <w:top w:val="nil"/>
              <w:left w:val="nil"/>
              <w:bottom w:val="nil"/>
              <w:right w:val="single" w:sz="8" w:space="0" w:color="auto"/>
            </w:tcBorders>
            <w:noWrap/>
            <w:vAlign w:val="center"/>
            <w:hideMark/>
          </w:tcPr>
          <w:p w14:paraId="02B5B2A9" w14:textId="77777777" w:rsidR="005E4CF6" w:rsidRPr="0058482D" w:rsidRDefault="005E4CF6" w:rsidP="005F534C">
            <w:pPr>
              <w:jc w:val="center"/>
              <w:rPr>
                <w:color w:val="000000"/>
                <w:sz w:val="18"/>
                <w:szCs w:val="18"/>
              </w:rPr>
            </w:pPr>
            <w:r w:rsidRPr="0058482D">
              <w:rPr>
                <w:color w:val="000000"/>
                <w:sz w:val="18"/>
                <w:szCs w:val="18"/>
              </w:rPr>
              <w:t>8,689</w:t>
            </w:r>
          </w:p>
        </w:tc>
        <w:tc>
          <w:tcPr>
            <w:tcW w:w="1508" w:type="dxa"/>
            <w:tcBorders>
              <w:top w:val="nil"/>
              <w:left w:val="nil"/>
              <w:bottom w:val="nil"/>
              <w:right w:val="single" w:sz="8" w:space="0" w:color="auto"/>
            </w:tcBorders>
            <w:noWrap/>
            <w:vAlign w:val="center"/>
            <w:hideMark/>
          </w:tcPr>
          <w:p w14:paraId="0F93B2D2" w14:textId="77777777" w:rsidR="005E4CF6" w:rsidRPr="0058482D" w:rsidRDefault="005E4CF6" w:rsidP="005F534C">
            <w:pPr>
              <w:jc w:val="center"/>
              <w:rPr>
                <w:color w:val="000000"/>
                <w:sz w:val="18"/>
                <w:szCs w:val="18"/>
              </w:rPr>
            </w:pPr>
            <w:r w:rsidRPr="0058482D">
              <w:rPr>
                <w:color w:val="000000"/>
                <w:sz w:val="18"/>
                <w:szCs w:val="18"/>
              </w:rPr>
              <w:t>8,658</w:t>
            </w:r>
          </w:p>
        </w:tc>
      </w:tr>
      <w:tr w:rsidR="005E4CF6" w:rsidRPr="0058482D" w14:paraId="6901EED4" w14:textId="77777777" w:rsidTr="005F534C">
        <w:trPr>
          <w:trHeight w:val="258"/>
        </w:trPr>
        <w:tc>
          <w:tcPr>
            <w:tcW w:w="553" w:type="dxa"/>
            <w:tcBorders>
              <w:top w:val="nil"/>
              <w:left w:val="single" w:sz="8" w:space="0" w:color="auto"/>
              <w:bottom w:val="single" w:sz="8" w:space="0" w:color="auto"/>
              <w:right w:val="single" w:sz="4" w:space="0" w:color="auto"/>
            </w:tcBorders>
            <w:shd w:val="clear" w:color="000000" w:fill="FFFFFF"/>
            <w:noWrap/>
            <w:vAlign w:val="center"/>
            <w:hideMark/>
          </w:tcPr>
          <w:p w14:paraId="1EE6E720" w14:textId="77777777" w:rsidR="005E4CF6" w:rsidRPr="0058482D" w:rsidRDefault="005E4CF6" w:rsidP="005F534C">
            <w:pPr>
              <w:jc w:val="center"/>
              <w:rPr>
                <w:color w:val="000000"/>
                <w:sz w:val="18"/>
                <w:szCs w:val="18"/>
              </w:rPr>
            </w:pPr>
            <w:r w:rsidRPr="0058482D">
              <w:rPr>
                <w:color w:val="000000"/>
                <w:sz w:val="18"/>
                <w:szCs w:val="18"/>
              </w:rPr>
              <w:t>1.5.</w:t>
            </w:r>
          </w:p>
        </w:tc>
        <w:tc>
          <w:tcPr>
            <w:tcW w:w="848" w:type="dxa"/>
            <w:tcBorders>
              <w:top w:val="nil"/>
              <w:left w:val="nil"/>
              <w:bottom w:val="single" w:sz="8" w:space="0" w:color="auto"/>
              <w:right w:val="single" w:sz="4" w:space="0" w:color="auto"/>
            </w:tcBorders>
            <w:shd w:val="clear" w:color="000000" w:fill="FFFFFF"/>
            <w:noWrap/>
            <w:vAlign w:val="center"/>
            <w:hideMark/>
          </w:tcPr>
          <w:p w14:paraId="1B3D8587" w14:textId="77777777" w:rsidR="005E4CF6" w:rsidRPr="0058482D" w:rsidRDefault="005E4CF6" w:rsidP="005F534C">
            <w:pPr>
              <w:jc w:val="center"/>
              <w:rPr>
                <w:i/>
                <w:iCs/>
                <w:color w:val="000000"/>
                <w:sz w:val="18"/>
                <w:szCs w:val="18"/>
              </w:rPr>
            </w:pPr>
            <w:r w:rsidRPr="0058482D">
              <w:rPr>
                <w:i/>
                <w:iCs/>
                <w:color w:val="000000"/>
                <w:sz w:val="18"/>
                <w:szCs w:val="18"/>
              </w:rPr>
              <w:t>m</w:t>
            </w:r>
          </w:p>
        </w:tc>
        <w:tc>
          <w:tcPr>
            <w:tcW w:w="2649" w:type="dxa"/>
            <w:tcBorders>
              <w:top w:val="single" w:sz="4" w:space="0" w:color="auto"/>
              <w:left w:val="nil"/>
              <w:bottom w:val="single" w:sz="8" w:space="0" w:color="auto"/>
              <w:right w:val="single" w:sz="4" w:space="0" w:color="auto"/>
            </w:tcBorders>
            <w:shd w:val="clear" w:color="000000" w:fill="FFFFFF"/>
            <w:noWrap/>
            <w:vAlign w:val="center"/>
            <w:hideMark/>
          </w:tcPr>
          <w:p w14:paraId="223849C9" w14:textId="77777777" w:rsidR="005E4CF6" w:rsidRPr="0058482D" w:rsidRDefault="005E4CF6" w:rsidP="005F534C">
            <w:pPr>
              <w:rPr>
                <w:color w:val="000000"/>
                <w:sz w:val="18"/>
                <w:szCs w:val="18"/>
              </w:rPr>
            </w:pPr>
            <w:r w:rsidRPr="0058482D">
              <w:rPr>
                <w:color w:val="000000"/>
                <w:sz w:val="18"/>
                <w:szCs w:val="18"/>
              </w:rPr>
              <w:t>Pelno mokesčio tarifas</w:t>
            </w:r>
          </w:p>
        </w:tc>
        <w:tc>
          <w:tcPr>
            <w:tcW w:w="1195" w:type="dxa"/>
            <w:tcBorders>
              <w:top w:val="nil"/>
              <w:left w:val="single" w:sz="8" w:space="0" w:color="auto"/>
              <w:bottom w:val="single" w:sz="8" w:space="0" w:color="auto"/>
              <w:right w:val="single" w:sz="8" w:space="0" w:color="auto"/>
            </w:tcBorders>
            <w:shd w:val="clear" w:color="000000" w:fill="FFFFFF"/>
            <w:noWrap/>
            <w:vAlign w:val="center"/>
            <w:hideMark/>
          </w:tcPr>
          <w:p w14:paraId="64737145" w14:textId="77777777" w:rsidR="005E4CF6" w:rsidRPr="0058482D" w:rsidRDefault="005E4CF6" w:rsidP="005F534C">
            <w:pPr>
              <w:jc w:val="center"/>
              <w:rPr>
                <w:color w:val="000000"/>
                <w:sz w:val="18"/>
                <w:szCs w:val="18"/>
              </w:rPr>
            </w:pPr>
            <w:r w:rsidRPr="0058482D">
              <w:rPr>
                <w:color w:val="000000"/>
                <w:sz w:val="18"/>
                <w:szCs w:val="18"/>
              </w:rPr>
              <w:t>proc.</w:t>
            </w:r>
          </w:p>
        </w:tc>
        <w:tc>
          <w:tcPr>
            <w:tcW w:w="2818" w:type="dxa"/>
            <w:tcBorders>
              <w:top w:val="single" w:sz="4" w:space="0" w:color="auto"/>
              <w:left w:val="nil"/>
              <w:bottom w:val="single" w:sz="8" w:space="0" w:color="auto"/>
              <w:right w:val="single" w:sz="8" w:space="0" w:color="auto"/>
            </w:tcBorders>
            <w:noWrap/>
            <w:vAlign w:val="center"/>
            <w:hideMark/>
          </w:tcPr>
          <w:p w14:paraId="3BCD4852" w14:textId="77777777" w:rsidR="005E4CF6" w:rsidRPr="0058482D" w:rsidRDefault="005E4CF6" w:rsidP="005F534C">
            <w:pPr>
              <w:jc w:val="center"/>
              <w:rPr>
                <w:color w:val="000000"/>
                <w:sz w:val="18"/>
                <w:szCs w:val="18"/>
              </w:rPr>
            </w:pPr>
            <w:r w:rsidRPr="0058482D">
              <w:rPr>
                <w:color w:val="000000"/>
                <w:sz w:val="18"/>
                <w:szCs w:val="18"/>
              </w:rPr>
              <w:t>15,00</w:t>
            </w:r>
          </w:p>
        </w:tc>
        <w:tc>
          <w:tcPr>
            <w:tcW w:w="1508" w:type="dxa"/>
            <w:tcBorders>
              <w:top w:val="single" w:sz="4" w:space="0" w:color="auto"/>
              <w:left w:val="nil"/>
              <w:bottom w:val="single" w:sz="8" w:space="0" w:color="auto"/>
              <w:right w:val="single" w:sz="8" w:space="0" w:color="auto"/>
            </w:tcBorders>
            <w:noWrap/>
            <w:vAlign w:val="center"/>
            <w:hideMark/>
          </w:tcPr>
          <w:p w14:paraId="4D5C4CFA" w14:textId="77777777" w:rsidR="005E4CF6" w:rsidRPr="0058482D" w:rsidRDefault="005E4CF6" w:rsidP="005F534C">
            <w:pPr>
              <w:jc w:val="center"/>
              <w:rPr>
                <w:color w:val="000000"/>
                <w:sz w:val="18"/>
                <w:szCs w:val="18"/>
              </w:rPr>
            </w:pPr>
            <w:r w:rsidRPr="0058482D">
              <w:rPr>
                <w:color w:val="000000"/>
                <w:sz w:val="18"/>
                <w:szCs w:val="18"/>
              </w:rPr>
              <w:t>16,00</w:t>
            </w:r>
          </w:p>
        </w:tc>
      </w:tr>
    </w:tbl>
    <w:p w14:paraId="0A343D52" w14:textId="77777777" w:rsidR="005E4CF6" w:rsidRDefault="005E4CF6" w:rsidP="005E4CF6">
      <w:pPr>
        <w:ind w:firstLine="567"/>
        <w:jc w:val="both"/>
        <w:rPr>
          <w:bCs/>
          <w:iCs/>
        </w:rPr>
      </w:pPr>
    </w:p>
    <w:p w14:paraId="11212166" w14:textId="77777777" w:rsidR="005E4CF6" w:rsidRDefault="005E4CF6" w:rsidP="005E4CF6">
      <w:pPr>
        <w:pStyle w:val="Pagrindiniotekstotrauka"/>
        <w:tabs>
          <w:tab w:val="left" w:pos="990"/>
          <w:tab w:val="left" w:pos="1260"/>
          <w:tab w:val="left" w:pos="1440"/>
          <w:tab w:val="left" w:pos="1710"/>
        </w:tabs>
        <w:rPr>
          <w:szCs w:val="24"/>
        </w:rPr>
      </w:pPr>
      <w:r>
        <w:rPr>
          <w:bCs/>
          <w:iCs/>
        </w:rPr>
        <w:t xml:space="preserve">Dėl 0,03 procentiniais punktais didesnės investicijų grąžos normos Nutarimu Nr. O3E-391 nustatytame Pajamų lygyje įvertinta metinė investicijų grąža didėja 0,946 tūkst. Eur, o </w:t>
      </w:r>
      <w:r w:rsidRPr="00D50D6F">
        <w:rPr>
          <w:b/>
          <w:iCs/>
        </w:rPr>
        <w:t>negauta investicijų grąža</w:t>
      </w:r>
      <w:r>
        <w:rPr>
          <w:bCs/>
          <w:iCs/>
        </w:rPr>
        <w:t xml:space="preserve"> 2025 m. sausio–vasario mėnesiais sudaro </w:t>
      </w:r>
      <w:r w:rsidRPr="00D50D6F">
        <w:rPr>
          <w:b/>
          <w:iCs/>
        </w:rPr>
        <w:t>0,158</w:t>
      </w:r>
      <w:r w:rsidRPr="00D50D6F">
        <w:rPr>
          <w:rStyle w:val="Puslapioinaosnuoroda"/>
          <w:bCs/>
          <w:iCs/>
        </w:rPr>
        <w:footnoteReference w:id="2"/>
      </w:r>
      <w:r w:rsidRPr="00D50D6F">
        <w:rPr>
          <w:b/>
          <w:iCs/>
        </w:rPr>
        <w:t xml:space="preserve"> tūkst. Eur</w:t>
      </w:r>
      <w:r>
        <w:rPr>
          <w:bCs/>
          <w:iCs/>
        </w:rPr>
        <w:t>.</w:t>
      </w:r>
    </w:p>
    <w:p w14:paraId="3F0AF8C8" w14:textId="77777777" w:rsidR="005E4CF6" w:rsidRDefault="005E4CF6" w:rsidP="005E4CF6">
      <w:pPr>
        <w:ind w:firstLine="720"/>
        <w:jc w:val="both"/>
        <w:rPr>
          <w:bCs/>
          <w:iCs/>
        </w:rPr>
      </w:pPr>
      <w:r>
        <w:rPr>
          <w:bCs/>
          <w:iCs/>
        </w:rPr>
        <w:t xml:space="preserve">Įvertinus visus Pajamų bazinio lygio koregavimus, koreguotas </w:t>
      </w:r>
      <w:r w:rsidRPr="00D50D6F">
        <w:rPr>
          <w:b/>
          <w:iCs/>
        </w:rPr>
        <w:t xml:space="preserve">Pajamų bazinis lygis didėja </w:t>
      </w:r>
      <w:r>
        <w:rPr>
          <w:bCs/>
          <w:iCs/>
        </w:rPr>
        <w:t xml:space="preserve">107,721 tūkst. Eur arba </w:t>
      </w:r>
      <w:r w:rsidRPr="00D50D6F">
        <w:rPr>
          <w:b/>
          <w:iCs/>
        </w:rPr>
        <w:t>2,9 proc.</w:t>
      </w:r>
      <w:r>
        <w:rPr>
          <w:bCs/>
          <w:iCs/>
        </w:rPr>
        <w:t xml:space="preserve"> ir sudaro 3824,979 tūkst. Eur. Pastovioji pajamų bazinio lygio dalis </w:t>
      </w:r>
      <w:r>
        <w:rPr>
          <w:bCs/>
          <w:iCs/>
        </w:rPr>
        <w:lastRenderedPageBreak/>
        <w:t xml:space="preserve">po koregavimo didėja 97,73 tūkst. Eur, iš jų: didėja – dėl infliacijos 5,4 tūkst. Eur, dėl atliktų investicinių projektų 11,415 tūkst. Eur, dėl planuojamo darbo užmokesčio augimo 85,244 tūkst. Eur ir mažėja – dėl mažesnės investicijų grąžos normos 3,096 tūkst. Eur bei 1,233 tūkst. Eur mažesnių </w:t>
      </w:r>
      <w:r w:rsidRPr="0002723D">
        <w:rPr>
          <w:bCs/>
          <w:iCs/>
        </w:rPr>
        <w:t>pagal Energetikos įstatymą mokamų mokesčių</w:t>
      </w:r>
      <w:r>
        <w:rPr>
          <w:bCs/>
          <w:iCs/>
        </w:rPr>
        <w:t>. Kintamoji pajamų bazinio lygio dalis didėja 9,833 tūkst. Eur, iš jų 11,308 tūkst. Eur dėl papildomo šilumos kiekio sąnaudų padidėjimo, kurį lėmė didesnė perskaičiuota šilumos gamybos kaina ir mažėja 1,475 tūkst. Eur dėl atliktos investicijos. Papildoma pajamų lygio dalis didėja 0,158 tūkst. Eur dėl pelno mokesčio tarifo pokyčio koreguotos investicijų grąžos. Projekcinių galiojančio bazinio ir koreguoto bazinio Pajamų lygių palyginimas pateiktas 4 lentelėje</w:t>
      </w:r>
      <w:r w:rsidRPr="00C72EB4">
        <w:rPr>
          <w:bCs/>
          <w:iCs/>
        </w:rPr>
        <w:t>.</w:t>
      </w:r>
    </w:p>
    <w:p w14:paraId="22F6E960" w14:textId="77777777" w:rsidR="005E4CF6" w:rsidRDefault="005E4CF6" w:rsidP="005E4CF6">
      <w:pPr>
        <w:ind w:firstLine="720"/>
        <w:jc w:val="both"/>
        <w:rPr>
          <w:bCs/>
          <w:iCs/>
        </w:rPr>
      </w:pPr>
    </w:p>
    <w:p w14:paraId="7563BDBF" w14:textId="77777777" w:rsidR="005E4CF6" w:rsidRDefault="005E4CF6" w:rsidP="005E4CF6">
      <w:pPr>
        <w:jc w:val="both"/>
        <w:rPr>
          <w:bCs/>
          <w:iCs/>
        </w:rPr>
      </w:pPr>
      <w:r>
        <w:rPr>
          <w:bCs/>
          <w:iCs/>
        </w:rPr>
        <w:t>4 lentelė. 2025 m. lapkričio mėn. projekcinių Pajamų lygių ir šilumos kainų palyginimas</w:t>
      </w:r>
    </w:p>
    <w:tbl>
      <w:tblPr>
        <w:tblW w:w="9583" w:type="dxa"/>
        <w:tblInd w:w="113" w:type="dxa"/>
        <w:tblLook w:val="04A0" w:firstRow="1" w:lastRow="0" w:firstColumn="1" w:lastColumn="0" w:noHBand="0" w:noVBand="1"/>
      </w:tblPr>
      <w:tblGrid>
        <w:gridCol w:w="3291"/>
        <w:gridCol w:w="1260"/>
        <w:gridCol w:w="1796"/>
        <w:gridCol w:w="1553"/>
        <w:gridCol w:w="1683"/>
      </w:tblGrid>
      <w:tr w:rsidR="005E4CF6" w:rsidRPr="0001294E" w14:paraId="04F1FB80" w14:textId="77777777" w:rsidTr="005F534C">
        <w:trPr>
          <w:trHeight w:val="260"/>
        </w:trPr>
        <w:tc>
          <w:tcPr>
            <w:tcW w:w="3291" w:type="dxa"/>
            <w:tcBorders>
              <w:top w:val="single" w:sz="4" w:space="0" w:color="auto"/>
              <w:left w:val="single" w:sz="4" w:space="0" w:color="auto"/>
              <w:bottom w:val="single" w:sz="4" w:space="0" w:color="auto"/>
              <w:right w:val="single" w:sz="4" w:space="0" w:color="auto"/>
            </w:tcBorders>
            <w:noWrap/>
            <w:vAlign w:val="center"/>
            <w:hideMark/>
          </w:tcPr>
          <w:p w14:paraId="0E73393B" w14:textId="77777777" w:rsidR="005E4CF6" w:rsidRPr="0001294E" w:rsidRDefault="005E4CF6" w:rsidP="005F534C">
            <w:pPr>
              <w:jc w:val="center"/>
              <w:rPr>
                <w:b/>
                <w:bCs/>
                <w:color w:val="000000"/>
                <w:sz w:val="20"/>
                <w:szCs w:val="20"/>
                <w:lang w:val="en-US"/>
              </w:rPr>
            </w:pPr>
            <w:r w:rsidRPr="0001294E">
              <w:rPr>
                <w:b/>
                <w:bCs/>
                <w:color w:val="000000"/>
                <w:sz w:val="20"/>
                <w:szCs w:val="20"/>
              </w:rPr>
              <w:t>Rodiklis</w:t>
            </w:r>
          </w:p>
        </w:tc>
        <w:tc>
          <w:tcPr>
            <w:tcW w:w="1260" w:type="dxa"/>
            <w:tcBorders>
              <w:top w:val="single" w:sz="4" w:space="0" w:color="auto"/>
              <w:left w:val="nil"/>
              <w:bottom w:val="single" w:sz="4" w:space="0" w:color="auto"/>
              <w:right w:val="single" w:sz="4" w:space="0" w:color="auto"/>
            </w:tcBorders>
            <w:noWrap/>
            <w:vAlign w:val="center"/>
            <w:hideMark/>
          </w:tcPr>
          <w:p w14:paraId="75675530" w14:textId="77777777" w:rsidR="005E4CF6" w:rsidRPr="0001294E" w:rsidRDefault="005E4CF6" w:rsidP="005F534C">
            <w:pPr>
              <w:jc w:val="center"/>
              <w:rPr>
                <w:b/>
                <w:bCs/>
                <w:color w:val="000000"/>
                <w:sz w:val="20"/>
                <w:szCs w:val="20"/>
              </w:rPr>
            </w:pPr>
            <w:r w:rsidRPr="0001294E">
              <w:rPr>
                <w:b/>
                <w:bCs/>
                <w:color w:val="000000"/>
                <w:sz w:val="20"/>
                <w:szCs w:val="20"/>
              </w:rPr>
              <w:t>Mato vnt.</w:t>
            </w:r>
          </w:p>
        </w:tc>
        <w:tc>
          <w:tcPr>
            <w:tcW w:w="1796" w:type="dxa"/>
            <w:tcBorders>
              <w:top w:val="single" w:sz="4" w:space="0" w:color="auto"/>
              <w:left w:val="nil"/>
              <w:bottom w:val="single" w:sz="4" w:space="0" w:color="auto"/>
              <w:right w:val="single" w:sz="4" w:space="0" w:color="auto"/>
            </w:tcBorders>
            <w:noWrap/>
            <w:vAlign w:val="center"/>
            <w:hideMark/>
          </w:tcPr>
          <w:p w14:paraId="183BFA97" w14:textId="77777777" w:rsidR="005E4CF6" w:rsidRPr="0001294E" w:rsidRDefault="005E4CF6" w:rsidP="005F534C">
            <w:pPr>
              <w:jc w:val="center"/>
              <w:rPr>
                <w:b/>
                <w:bCs/>
                <w:color w:val="000000"/>
                <w:sz w:val="20"/>
                <w:szCs w:val="20"/>
              </w:rPr>
            </w:pPr>
            <w:r w:rsidRPr="0001294E">
              <w:rPr>
                <w:b/>
                <w:bCs/>
                <w:color w:val="000000"/>
                <w:sz w:val="20"/>
                <w:szCs w:val="20"/>
              </w:rPr>
              <w:t>Bazinis</w:t>
            </w:r>
          </w:p>
        </w:tc>
        <w:tc>
          <w:tcPr>
            <w:tcW w:w="1553" w:type="dxa"/>
            <w:tcBorders>
              <w:top w:val="single" w:sz="4" w:space="0" w:color="auto"/>
              <w:left w:val="nil"/>
              <w:bottom w:val="single" w:sz="4" w:space="0" w:color="auto"/>
              <w:right w:val="single" w:sz="4" w:space="0" w:color="auto"/>
            </w:tcBorders>
            <w:noWrap/>
            <w:vAlign w:val="center"/>
            <w:hideMark/>
          </w:tcPr>
          <w:p w14:paraId="500938EA" w14:textId="77777777" w:rsidR="005E4CF6" w:rsidRPr="0001294E" w:rsidRDefault="005E4CF6" w:rsidP="005F534C">
            <w:pPr>
              <w:jc w:val="center"/>
              <w:rPr>
                <w:b/>
                <w:bCs/>
                <w:color w:val="000000"/>
                <w:sz w:val="20"/>
                <w:szCs w:val="20"/>
              </w:rPr>
            </w:pPr>
            <w:r w:rsidRPr="0001294E">
              <w:rPr>
                <w:b/>
                <w:bCs/>
                <w:color w:val="000000"/>
                <w:sz w:val="20"/>
                <w:szCs w:val="20"/>
              </w:rPr>
              <w:t>Koreguotas</w:t>
            </w:r>
          </w:p>
        </w:tc>
        <w:tc>
          <w:tcPr>
            <w:tcW w:w="1683" w:type="dxa"/>
            <w:tcBorders>
              <w:top w:val="single" w:sz="4" w:space="0" w:color="auto"/>
              <w:left w:val="nil"/>
              <w:bottom w:val="single" w:sz="4" w:space="0" w:color="auto"/>
              <w:right w:val="single" w:sz="4" w:space="0" w:color="auto"/>
            </w:tcBorders>
            <w:noWrap/>
            <w:vAlign w:val="center"/>
            <w:hideMark/>
          </w:tcPr>
          <w:p w14:paraId="0CD93C7B" w14:textId="77777777" w:rsidR="005E4CF6" w:rsidRPr="0001294E" w:rsidRDefault="005E4CF6" w:rsidP="005F534C">
            <w:pPr>
              <w:jc w:val="center"/>
              <w:rPr>
                <w:b/>
                <w:bCs/>
                <w:color w:val="000000"/>
                <w:sz w:val="20"/>
                <w:szCs w:val="20"/>
              </w:rPr>
            </w:pPr>
            <w:r w:rsidRPr="0001294E">
              <w:rPr>
                <w:b/>
                <w:bCs/>
                <w:color w:val="000000"/>
                <w:sz w:val="20"/>
                <w:szCs w:val="20"/>
              </w:rPr>
              <w:t>Pokytis</w:t>
            </w:r>
          </w:p>
        </w:tc>
      </w:tr>
      <w:tr w:rsidR="005E4CF6" w:rsidRPr="0001294E" w14:paraId="113EE966" w14:textId="77777777" w:rsidTr="005F534C">
        <w:trPr>
          <w:trHeight w:val="260"/>
        </w:trPr>
        <w:tc>
          <w:tcPr>
            <w:tcW w:w="3291" w:type="dxa"/>
            <w:tcBorders>
              <w:top w:val="nil"/>
              <w:left w:val="single" w:sz="4" w:space="0" w:color="auto"/>
              <w:bottom w:val="nil"/>
              <w:right w:val="single" w:sz="4" w:space="0" w:color="auto"/>
            </w:tcBorders>
            <w:noWrap/>
            <w:vAlign w:val="center"/>
            <w:hideMark/>
          </w:tcPr>
          <w:p w14:paraId="524A158C" w14:textId="77777777" w:rsidR="005E4CF6" w:rsidRPr="0001294E" w:rsidRDefault="005E4CF6" w:rsidP="005F534C">
            <w:pPr>
              <w:jc w:val="center"/>
              <w:rPr>
                <w:color w:val="000000"/>
                <w:sz w:val="18"/>
                <w:szCs w:val="18"/>
              </w:rPr>
            </w:pPr>
            <w:r w:rsidRPr="0001294E">
              <w:rPr>
                <w:color w:val="000000"/>
                <w:sz w:val="18"/>
                <w:szCs w:val="18"/>
              </w:rPr>
              <w:t>1</w:t>
            </w:r>
          </w:p>
        </w:tc>
        <w:tc>
          <w:tcPr>
            <w:tcW w:w="1260" w:type="dxa"/>
            <w:tcBorders>
              <w:top w:val="nil"/>
              <w:left w:val="nil"/>
              <w:bottom w:val="single" w:sz="4" w:space="0" w:color="auto"/>
              <w:right w:val="single" w:sz="4" w:space="0" w:color="auto"/>
            </w:tcBorders>
            <w:noWrap/>
            <w:vAlign w:val="center"/>
            <w:hideMark/>
          </w:tcPr>
          <w:p w14:paraId="7F29709A" w14:textId="77777777" w:rsidR="005E4CF6" w:rsidRPr="0001294E" w:rsidRDefault="005E4CF6" w:rsidP="005F534C">
            <w:pPr>
              <w:jc w:val="center"/>
              <w:rPr>
                <w:color w:val="000000"/>
                <w:sz w:val="18"/>
                <w:szCs w:val="18"/>
              </w:rPr>
            </w:pPr>
            <w:r w:rsidRPr="0001294E">
              <w:rPr>
                <w:color w:val="000000"/>
                <w:sz w:val="18"/>
                <w:szCs w:val="18"/>
              </w:rPr>
              <w:t>2</w:t>
            </w:r>
          </w:p>
        </w:tc>
        <w:tc>
          <w:tcPr>
            <w:tcW w:w="1796" w:type="dxa"/>
            <w:tcBorders>
              <w:top w:val="nil"/>
              <w:left w:val="nil"/>
              <w:bottom w:val="single" w:sz="4" w:space="0" w:color="auto"/>
              <w:right w:val="single" w:sz="4" w:space="0" w:color="auto"/>
            </w:tcBorders>
            <w:noWrap/>
            <w:vAlign w:val="center"/>
            <w:hideMark/>
          </w:tcPr>
          <w:p w14:paraId="73D1AE7E" w14:textId="77777777" w:rsidR="005E4CF6" w:rsidRPr="0001294E" w:rsidRDefault="005E4CF6" w:rsidP="005F534C">
            <w:pPr>
              <w:jc w:val="center"/>
              <w:rPr>
                <w:color w:val="000000"/>
                <w:sz w:val="18"/>
                <w:szCs w:val="18"/>
              </w:rPr>
            </w:pPr>
            <w:r w:rsidRPr="0001294E">
              <w:rPr>
                <w:color w:val="000000"/>
                <w:sz w:val="18"/>
                <w:szCs w:val="18"/>
              </w:rPr>
              <w:t>3</w:t>
            </w:r>
          </w:p>
        </w:tc>
        <w:tc>
          <w:tcPr>
            <w:tcW w:w="1553" w:type="dxa"/>
            <w:tcBorders>
              <w:top w:val="nil"/>
              <w:left w:val="nil"/>
              <w:bottom w:val="single" w:sz="4" w:space="0" w:color="auto"/>
              <w:right w:val="single" w:sz="4" w:space="0" w:color="auto"/>
            </w:tcBorders>
            <w:noWrap/>
            <w:vAlign w:val="center"/>
            <w:hideMark/>
          </w:tcPr>
          <w:p w14:paraId="4E1FFD00" w14:textId="77777777" w:rsidR="005E4CF6" w:rsidRPr="0001294E" w:rsidRDefault="005E4CF6" w:rsidP="005F534C">
            <w:pPr>
              <w:jc w:val="center"/>
              <w:rPr>
                <w:color w:val="000000"/>
                <w:sz w:val="18"/>
                <w:szCs w:val="18"/>
              </w:rPr>
            </w:pPr>
            <w:r w:rsidRPr="0001294E">
              <w:rPr>
                <w:color w:val="000000"/>
                <w:sz w:val="18"/>
                <w:szCs w:val="18"/>
              </w:rPr>
              <w:t>4</w:t>
            </w:r>
          </w:p>
        </w:tc>
        <w:tc>
          <w:tcPr>
            <w:tcW w:w="1683" w:type="dxa"/>
            <w:tcBorders>
              <w:top w:val="nil"/>
              <w:left w:val="nil"/>
              <w:bottom w:val="single" w:sz="4" w:space="0" w:color="auto"/>
              <w:right w:val="single" w:sz="4" w:space="0" w:color="auto"/>
            </w:tcBorders>
            <w:noWrap/>
            <w:vAlign w:val="center"/>
            <w:hideMark/>
          </w:tcPr>
          <w:p w14:paraId="3C39D220" w14:textId="77777777" w:rsidR="005E4CF6" w:rsidRPr="0001294E" w:rsidRDefault="005E4CF6" w:rsidP="005F534C">
            <w:pPr>
              <w:jc w:val="center"/>
              <w:rPr>
                <w:color w:val="000000"/>
                <w:sz w:val="18"/>
                <w:szCs w:val="18"/>
              </w:rPr>
            </w:pPr>
            <w:r w:rsidRPr="0001294E">
              <w:rPr>
                <w:color w:val="000000"/>
                <w:sz w:val="18"/>
                <w:szCs w:val="18"/>
              </w:rPr>
              <w:t>5 = 4 - 3</w:t>
            </w:r>
          </w:p>
        </w:tc>
      </w:tr>
      <w:tr w:rsidR="005E4CF6" w:rsidRPr="0001294E" w14:paraId="3711B83F" w14:textId="77777777" w:rsidTr="005F534C">
        <w:trPr>
          <w:trHeight w:val="260"/>
        </w:trPr>
        <w:tc>
          <w:tcPr>
            <w:tcW w:w="3291" w:type="dxa"/>
            <w:vMerge w:val="restart"/>
            <w:tcBorders>
              <w:top w:val="single" w:sz="4" w:space="0" w:color="auto"/>
              <w:left w:val="single" w:sz="4" w:space="0" w:color="auto"/>
              <w:bottom w:val="single" w:sz="4" w:space="0" w:color="000000"/>
              <w:right w:val="single" w:sz="4" w:space="0" w:color="auto"/>
            </w:tcBorders>
            <w:noWrap/>
            <w:vAlign w:val="center"/>
            <w:hideMark/>
          </w:tcPr>
          <w:p w14:paraId="358CA461" w14:textId="77777777" w:rsidR="005E4CF6" w:rsidRPr="0001294E" w:rsidRDefault="005E4CF6" w:rsidP="005F534C">
            <w:pPr>
              <w:rPr>
                <w:b/>
                <w:bCs/>
                <w:color w:val="000000"/>
                <w:sz w:val="20"/>
                <w:szCs w:val="20"/>
              </w:rPr>
            </w:pPr>
            <w:r w:rsidRPr="0001294E">
              <w:rPr>
                <w:b/>
                <w:bCs/>
                <w:color w:val="000000"/>
                <w:sz w:val="20"/>
                <w:szCs w:val="20"/>
              </w:rPr>
              <w:t>Pajamų lygis:</w:t>
            </w:r>
          </w:p>
        </w:tc>
        <w:tc>
          <w:tcPr>
            <w:tcW w:w="1260" w:type="dxa"/>
            <w:tcBorders>
              <w:top w:val="nil"/>
              <w:left w:val="nil"/>
              <w:bottom w:val="single" w:sz="4" w:space="0" w:color="auto"/>
              <w:right w:val="single" w:sz="4" w:space="0" w:color="auto"/>
            </w:tcBorders>
            <w:noWrap/>
            <w:vAlign w:val="center"/>
            <w:hideMark/>
          </w:tcPr>
          <w:p w14:paraId="6F8AEB29" w14:textId="77777777" w:rsidR="005E4CF6" w:rsidRPr="0001294E" w:rsidRDefault="005E4CF6" w:rsidP="005F534C">
            <w:pPr>
              <w:jc w:val="center"/>
              <w:rPr>
                <w:b/>
                <w:bCs/>
                <w:color w:val="000000"/>
                <w:sz w:val="20"/>
                <w:szCs w:val="20"/>
              </w:rPr>
            </w:pPr>
            <w:r w:rsidRPr="0001294E">
              <w:rPr>
                <w:b/>
                <w:bCs/>
                <w:color w:val="000000"/>
                <w:sz w:val="20"/>
                <w:szCs w:val="20"/>
              </w:rPr>
              <w:t>Eur</w:t>
            </w:r>
          </w:p>
        </w:tc>
        <w:tc>
          <w:tcPr>
            <w:tcW w:w="1796" w:type="dxa"/>
            <w:tcBorders>
              <w:top w:val="nil"/>
              <w:left w:val="nil"/>
              <w:bottom w:val="single" w:sz="4" w:space="0" w:color="auto"/>
              <w:right w:val="single" w:sz="4" w:space="0" w:color="auto"/>
            </w:tcBorders>
            <w:noWrap/>
            <w:vAlign w:val="center"/>
            <w:hideMark/>
          </w:tcPr>
          <w:p w14:paraId="3F6C8080" w14:textId="77777777" w:rsidR="005E4CF6" w:rsidRPr="0001294E" w:rsidRDefault="005E4CF6" w:rsidP="005F534C">
            <w:pPr>
              <w:jc w:val="center"/>
              <w:rPr>
                <w:b/>
                <w:bCs/>
                <w:color w:val="000000"/>
                <w:sz w:val="20"/>
                <w:szCs w:val="20"/>
              </w:rPr>
            </w:pPr>
            <w:r w:rsidRPr="0001294E">
              <w:rPr>
                <w:b/>
                <w:bCs/>
                <w:color w:val="000000"/>
                <w:sz w:val="20"/>
                <w:szCs w:val="20"/>
              </w:rPr>
              <w:t>3</w:t>
            </w:r>
            <w:r>
              <w:rPr>
                <w:b/>
                <w:bCs/>
                <w:color w:val="000000"/>
                <w:sz w:val="20"/>
                <w:szCs w:val="20"/>
              </w:rPr>
              <w:t> 717 258</w:t>
            </w:r>
          </w:p>
        </w:tc>
        <w:tc>
          <w:tcPr>
            <w:tcW w:w="1553" w:type="dxa"/>
            <w:tcBorders>
              <w:top w:val="nil"/>
              <w:left w:val="nil"/>
              <w:bottom w:val="single" w:sz="4" w:space="0" w:color="auto"/>
              <w:right w:val="single" w:sz="4" w:space="0" w:color="auto"/>
            </w:tcBorders>
            <w:noWrap/>
            <w:vAlign w:val="center"/>
            <w:hideMark/>
          </w:tcPr>
          <w:p w14:paraId="408A8B09" w14:textId="77777777" w:rsidR="005E4CF6" w:rsidRPr="0001294E" w:rsidRDefault="005E4CF6" w:rsidP="005F534C">
            <w:pPr>
              <w:jc w:val="center"/>
              <w:rPr>
                <w:b/>
                <w:bCs/>
                <w:color w:val="000000"/>
                <w:sz w:val="20"/>
                <w:szCs w:val="20"/>
              </w:rPr>
            </w:pPr>
            <w:r w:rsidRPr="0001294E">
              <w:rPr>
                <w:b/>
                <w:bCs/>
                <w:color w:val="000000"/>
                <w:sz w:val="20"/>
                <w:szCs w:val="20"/>
              </w:rPr>
              <w:t>3</w:t>
            </w:r>
            <w:r>
              <w:rPr>
                <w:b/>
                <w:bCs/>
                <w:color w:val="000000"/>
                <w:sz w:val="20"/>
                <w:szCs w:val="20"/>
              </w:rPr>
              <w:t> 824 979</w:t>
            </w:r>
          </w:p>
        </w:tc>
        <w:tc>
          <w:tcPr>
            <w:tcW w:w="1683" w:type="dxa"/>
            <w:tcBorders>
              <w:top w:val="nil"/>
              <w:left w:val="nil"/>
              <w:bottom w:val="single" w:sz="4" w:space="0" w:color="auto"/>
              <w:right w:val="single" w:sz="4" w:space="0" w:color="auto"/>
            </w:tcBorders>
            <w:noWrap/>
            <w:vAlign w:val="center"/>
            <w:hideMark/>
          </w:tcPr>
          <w:p w14:paraId="1E04BEA0" w14:textId="77777777" w:rsidR="005E4CF6" w:rsidRPr="0001294E" w:rsidRDefault="005E4CF6" w:rsidP="005F534C">
            <w:pPr>
              <w:jc w:val="center"/>
              <w:rPr>
                <w:b/>
                <w:bCs/>
                <w:color w:val="000000"/>
                <w:sz w:val="20"/>
                <w:szCs w:val="20"/>
              </w:rPr>
            </w:pPr>
            <w:r w:rsidRPr="0001294E">
              <w:rPr>
                <w:b/>
                <w:bCs/>
                <w:color w:val="000000"/>
                <w:sz w:val="20"/>
                <w:szCs w:val="20"/>
              </w:rPr>
              <w:t xml:space="preserve">107 </w:t>
            </w:r>
            <w:r>
              <w:rPr>
                <w:b/>
                <w:bCs/>
                <w:color w:val="000000"/>
                <w:sz w:val="20"/>
                <w:szCs w:val="20"/>
              </w:rPr>
              <w:t>721</w:t>
            </w:r>
          </w:p>
        </w:tc>
      </w:tr>
      <w:tr w:rsidR="005E4CF6" w:rsidRPr="0001294E" w14:paraId="44833BDD" w14:textId="77777777" w:rsidTr="005F534C">
        <w:trPr>
          <w:trHeight w:val="260"/>
        </w:trPr>
        <w:tc>
          <w:tcPr>
            <w:tcW w:w="3291" w:type="dxa"/>
            <w:vMerge/>
            <w:tcBorders>
              <w:top w:val="single" w:sz="4" w:space="0" w:color="auto"/>
              <w:left w:val="single" w:sz="4" w:space="0" w:color="auto"/>
              <w:bottom w:val="single" w:sz="4" w:space="0" w:color="000000"/>
              <w:right w:val="single" w:sz="4" w:space="0" w:color="auto"/>
            </w:tcBorders>
            <w:vAlign w:val="center"/>
            <w:hideMark/>
          </w:tcPr>
          <w:p w14:paraId="3DD62499" w14:textId="77777777" w:rsidR="005E4CF6" w:rsidRPr="0001294E" w:rsidRDefault="005E4CF6" w:rsidP="005F534C">
            <w:pPr>
              <w:rPr>
                <w:b/>
                <w:bCs/>
                <w:color w:val="000000"/>
                <w:sz w:val="20"/>
                <w:szCs w:val="20"/>
              </w:rPr>
            </w:pPr>
          </w:p>
        </w:tc>
        <w:tc>
          <w:tcPr>
            <w:tcW w:w="1260" w:type="dxa"/>
            <w:tcBorders>
              <w:top w:val="nil"/>
              <w:left w:val="nil"/>
              <w:bottom w:val="single" w:sz="4" w:space="0" w:color="auto"/>
              <w:right w:val="single" w:sz="4" w:space="0" w:color="auto"/>
            </w:tcBorders>
            <w:noWrap/>
            <w:vAlign w:val="center"/>
            <w:hideMark/>
          </w:tcPr>
          <w:p w14:paraId="5B46E802" w14:textId="77777777" w:rsidR="005E4CF6" w:rsidRPr="0001294E" w:rsidRDefault="005E4CF6" w:rsidP="005F534C">
            <w:pPr>
              <w:jc w:val="center"/>
              <w:rPr>
                <w:b/>
                <w:bCs/>
                <w:color w:val="000000"/>
                <w:sz w:val="20"/>
                <w:szCs w:val="20"/>
              </w:rPr>
            </w:pPr>
            <w:r w:rsidRPr="0001294E">
              <w:rPr>
                <w:b/>
                <w:bCs/>
                <w:color w:val="000000"/>
                <w:sz w:val="20"/>
                <w:szCs w:val="20"/>
              </w:rPr>
              <w:t>ct/kWh</w:t>
            </w:r>
          </w:p>
        </w:tc>
        <w:tc>
          <w:tcPr>
            <w:tcW w:w="1796" w:type="dxa"/>
            <w:tcBorders>
              <w:top w:val="nil"/>
              <w:left w:val="nil"/>
              <w:bottom w:val="single" w:sz="4" w:space="0" w:color="auto"/>
              <w:right w:val="single" w:sz="4" w:space="0" w:color="auto"/>
            </w:tcBorders>
            <w:noWrap/>
            <w:vAlign w:val="center"/>
            <w:hideMark/>
          </w:tcPr>
          <w:p w14:paraId="4A3F7A2E" w14:textId="77777777" w:rsidR="005E4CF6" w:rsidRPr="0001294E" w:rsidRDefault="005E4CF6" w:rsidP="005F534C">
            <w:pPr>
              <w:jc w:val="center"/>
              <w:rPr>
                <w:b/>
                <w:bCs/>
                <w:color w:val="000000"/>
                <w:sz w:val="20"/>
                <w:szCs w:val="20"/>
              </w:rPr>
            </w:pPr>
            <w:r w:rsidRPr="0001294E">
              <w:rPr>
                <w:b/>
                <w:bCs/>
                <w:color w:val="000000"/>
                <w:sz w:val="20"/>
                <w:szCs w:val="20"/>
              </w:rPr>
              <w:t>9,</w:t>
            </w:r>
            <w:r>
              <w:rPr>
                <w:b/>
                <w:bCs/>
                <w:color w:val="000000"/>
                <w:sz w:val="20"/>
                <w:szCs w:val="20"/>
              </w:rPr>
              <w:t>29</w:t>
            </w:r>
          </w:p>
        </w:tc>
        <w:tc>
          <w:tcPr>
            <w:tcW w:w="1553" w:type="dxa"/>
            <w:tcBorders>
              <w:top w:val="nil"/>
              <w:left w:val="nil"/>
              <w:bottom w:val="single" w:sz="4" w:space="0" w:color="auto"/>
              <w:right w:val="single" w:sz="4" w:space="0" w:color="auto"/>
            </w:tcBorders>
            <w:noWrap/>
            <w:vAlign w:val="center"/>
            <w:hideMark/>
          </w:tcPr>
          <w:p w14:paraId="003F0E4E" w14:textId="77777777" w:rsidR="005E4CF6" w:rsidRPr="0001294E" w:rsidRDefault="005E4CF6" w:rsidP="005F534C">
            <w:pPr>
              <w:jc w:val="center"/>
              <w:rPr>
                <w:b/>
                <w:bCs/>
                <w:color w:val="000000"/>
                <w:sz w:val="20"/>
                <w:szCs w:val="20"/>
              </w:rPr>
            </w:pPr>
            <w:r w:rsidRPr="0001294E">
              <w:rPr>
                <w:b/>
                <w:bCs/>
                <w:color w:val="000000"/>
                <w:sz w:val="20"/>
                <w:szCs w:val="20"/>
              </w:rPr>
              <w:t>9,</w:t>
            </w:r>
            <w:r>
              <w:rPr>
                <w:b/>
                <w:bCs/>
                <w:color w:val="000000"/>
                <w:sz w:val="20"/>
                <w:szCs w:val="20"/>
              </w:rPr>
              <w:t>57</w:t>
            </w:r>
          </w:p>
        </w:tc>
        <w:tc>
          <w:tcPr>
            <w:tcW w:w="1683" w:type="dxa"/>
            <w:tcBorders>
              <w:top w:val="nil"/>
              <w:left w:val="nil"/>
              <w:bottom w:val="single" w:sz="4" w:space="0" w:color="auto"/>
              <w:right w:val="single" w:sz="4" w:space="0" w:color="auto"/>
            </w:tcBorders>
            <w:noWrap/>
            <w:vAlign w:val="center"/>
            <w:hideMark/>
          </w:tcPr>
          <w:p w14:paraId="0E1486C7" w14:textId="77777777" w:rsidR="005E4CF6" w:rsidRPr="0001294E" w:rsidRDefault="005E4CF6" w:rsidP="005F534C">
            <w:pPr>
              <w:jc w:val="center"/>
              <w:rPr>
                <w:b/>
                <w:bCs/>
                <w:color w:val="000000"/>
                <w:sz w:val="20"/>
                <w:szCs w:val="20"/>
              </w:rPr>
            </w:pPr>
            <w:r w:rsidRPr="0001294E">
              <w:rPr>
                <w:b/>
                <w:bCs/>
                <w:color w:val="000000"/>
                <w:sz w:val="20"/>
                <w:szCs w:val="20"/>
              </w:rPr>
              <w:t>0,2</w:t>
            </w:r>
            <w:r>
              <w:rPr>
                <w:b/>
                <w:bCs/>
                <w:color w:val="000000"/>
                <w:sz w:val="20"/>
                <w:szCs w:val="20"/>
              </w:rPr>
              <w:t>8</w:t>
            </w:r>
          </w:p>
        </w:tc>
      </w:tr>
      <w:tr w:rsidR="005E4CF6" w:rsidRPr="0001294E" w14:paraId="75ED14C3" w14:textId="77777777" w:rsidTr="005F534C">
        <w:trPr>
          <w:trHeight w:val="260"/>
        </w:trPr>
        <w:tc>
          <w:tcPr>
            <w:tcW w:w="3291" w:type="dxa"/>
            <w:vMerge w:val="restart"/>
            <w:tcBorders>
              <w:top w:val="nil"/>
              <w:left w:val="single" w:sz="4" w:space="0" w:color="auto"/>
              <w:bottom w:val="single" w:sz="4" w:space="0" w:color="000000"/>
              <w:right w:val="single" w:sz="4" w:space="0" w:color="auto"/>
            </w:tcBorders>
            <w:noWrap/>
            <w:vAlign w:val="center"/>
            <w:hideMark/>
          </w:tcPr>
          <w:p w14:paraId="799C5EA3" w14:textId="77777777" w:rsidR="005E4CF6" w:rsidRPr="0001294E" w:rsidRDefault="005E4CF6" w:rsidP="005F534C">
            <w:pPr>
              <w:ind w:firstLineChars="200" w:firstLine="400"/>
              <w:rPr>
                <w:color w:val="000000"/>
                <w:sz w:val="20"/>
                <w:szCs w:val="20"/>
              </w:rPr>
            </w:pPr>
            <w:r w:rsidRPr="0001294E">
              <w:rPr>
                <w:color w:val="000000"/>
                <w:sz w:val="20"/>
                <w:szCs w:val="20"/>
              </w:rPr>
              <w:t>pajamų lygio pastovioji dalis</w:t>
            </w:r>
          </w:p>
        </w:tc>
        <w:tc>
          <w:tcPr>
            <w:tcW w:w="1260" w:type="dxa"/>
            <w:tcBorders>
              <w:top w:val="nil"/>
              <w:left w:val="nil"/>
              <w:bottom w:val="single" w:sz="4" w:space="0" w:color="auto"/>
              <w:right w:val="single" w:sz="4" w:space="0" w:color="auto"/>
            </w:tcBorders>
            <w:noWrap/>
            <w:vAlign w:val="center"/>
            <w:hideMark/>
          </w:tcPr>
          <w:p w14:paraId="7EE77EF5" w14:textId="77777777" w:rsidR="005E4CF6" w:rsidRPr="0001294E" w:rsidRDefault="005E4CF6" w:rsidP="005F534C">
            <w:pPr>
              <w:jc w:val="center"/>
              <w:rPr>
                <w:color w:val="000000"/>
                <w:sz w:val="20"/>
                <w:szCs w:val="20"/>
              </w:rPr>
            </w:pPr>
            <w:r w:rsidRPr="0001294E">
              <w:rPr>
                <w:color w:val="000000"/>
                <w:sz w:val="20"/>
                <w:szCs w:val="20"/>
              </w:rPr>
              <w:t>Eur</w:t>
            </w:r>
          </w:p>
        </w:tc>
        <w:tc>
          <w:tcPr>
            <w:tcW w:w="1796" w:type="dxa"/>
            <w:tcBorders>
              <w:top w:val="nil"/>
              <w:left w:val="nil"/>
              <w:bottom w:val="single" w:sz="4" w:space="0" w:color="auto"/>
              <w:right w:val="single" w:sz="4" w:space="0" w:color="auto"/>
            </w:tcBorders>
            <w:noWrap/>
            <w:vAlign w:val="center"/>
            <w:hideMark/>
          </w:tcPr>
          <w:p w14:paraId="11FE8500" w14:textId="77777777" w:rsidR="005E4CF6" w:rsidRPr="0001294E" w:rsidRDefault="005E4CF6" w:rsidP="005F534C">
            <w:pPr>
              <w:jc w:val="center"/>
              <w:rPr>
                <w:color w:val="000000"/>
                <w:sz w:val="20"/>
                <w:szCs w:val="20"/>
              </w:rPr>
            </w:pPr>
            <w:r w:rsidRPr="0001294E">
              <w:rPr>
                <w:color w:val="000000"/>
                <w:sz w:val="20"/>
                <w:szCs w:val="20"/>
              </w:rPr>
              <w:t>2 094 189</w:t>
            </w:r>
          </w:p>
        </w:tc>
        <w:tc>
          <w:tcPr>
            <w:tcW w:w="1553" w:type="dxa"/>
            <w:tcBorders>
              <w:top w:val="nil"/>
              <w:left w:val="nil"/>
              <w:bottom w:val="single" w:sz="4" w:space="0" w:color="auto"/>
              <w:right w:val="single" w:sz="4" w:space="0" w:color="auto"/>
            </w:tcBorders>
            <w:noWrap/>
            <w:vAlign w:val="center"/>
            <w:hideMark/>
          </w:tcPr>
          <w:p w14:paraId="6C411E8C" w14:textId="77777777" w:rsidR="005E4CF6" w:rsidRPr="0001294E" w:rsidRDefault="005E4CF6" w:rsidP="005F534C">
            <w:pPr>
              <w:jc w:val="center"/>
              <w:rPr>
                <w:color w:val="000000"/>
                <w:sz w:val="20"/>
                <w:szCs w:val="20"/>
              </w:rPr>
            </w:pPr>
            <w:r w:rsidRPr="0001294E">
              <w:rPr>
                <w:color w:val="000000"/>
                <w:sz w:val="20"/>
                <w:szCs w:val="20"/>
              </w:rPr>
              <w:t>2 191 919</w:t>
            </w:r>
          </w:p>
        </w:tc>
        <w:tc>
          <w:tcPr>
            <w:tcW w:w="1683" w:type="dxa"/>
            <w:tcBorders>
              <w:top w:val="nil"/>
              <w:left w:val="nil"/>
              <w:bottom w:val="single" w:sz="4" w:space="0" w:color="auto"/>
              <w:right w:val="single" w:sz="4" w:space="0" w:color="auto"/>
            </w:tcBorders>
            <w:noWrap/>
            <w:vAlign w:val="center"/>
            <w:hideMark/>
          </w:tcPr>
          <w:p w14:paraId="193DE0FD" w14:textId="77777777" w:rsidR="005E4CF6" w:rsidRPr="0001294E" w:rsidRDefault="005E4CF6" w:rsidP="005F534C">
            <w:pPr>
              <w:jc w:val="center"/>
              <w:rPr>
                <w:color w:val="000000"/>
                <w:sz w:val="20"/>
                <w:szCs w:val="20"/>
              </w:rPr>
            </w:pPr>
            <w:r w:rsidRPr="0001294E">
              <w:rPr>
                <w:color w:val="000000"/>
                <w:sz w:val="20"/>
                <w:szCs w:val="20"/>
              </w:rPr>
              <w:t>97 730</w:t>
            </w:r>
          </w:p>
        </w:tc>
      </w:tr>
      <w:tr w:rsidR="005E4CF6" w:rsidRPr="0001294E" w14:paraId="54D315D7" w14:textId="77777777" w:rsidTr="005F534C">
        <w:trPr>
          <w:trHeight w:val="260"/>
        </w:trPr>
        <w:tc>
          <w:tcPr>
            <w:tcW w:w="3291" w:type="dxa"/>
            <w:vMerge/>
            <w:tcBorders>
              <w:top w:val="nil"/>
              <w:left w:val="single" w:sz="4" w:space="0" w:color="auto"/>
              <w:bottom w:val="single" w:sz="4" w:space="0" w:color="000000"/>
              <w:right w:val="single" w:sz="4" w:space="0" w:color="auto"/>
            </w:tcBorders>
            <w:vAlign w:val="center"/>
            <w:hideMark/>
          </w:tcPr>
          <w:p w14:paraId="2342684A" w14:textId="77777777" w:rsidR="005E4CF6" w:rsidRPr="0001294E" w:rsidRDefault="005E4CF6" w:rsidP="005F534C">
            <w:pPr>
              <w:rPr>
                <w:color w:val="000000"/>
                <w:sz w:val="20"/>
                <w:szCs w:val="20"/>
              </w:rPr>
            </w:pPr>
          </w:p>
        </w:tc>
        <w:tc>
          <w:tcPr>
            <w:tcW w:w="1260" w:type="dxa"/>
            <w:tcBorders>
              <w:top w:val="nil"/>
              <w:left w:val="nil"/>
              <w:bottom w:val="single" w:sz="4" w:space="0" w:color="auto"/>
              <w:right w:val="single" w:sz="4" w:space="0" w:color="auto"/>
            </w:tcBorders>
            <w:noWrap/>
            <w:vAlign w:val="center"/>
            <w:hideMark/>
          </w:tcPr>
          <w:p w14:paraId="45A7A4A4" w14:textId="77777777" w:rsidR="005E4CF6" w:rsidRPr="0001294E" w:rsidRDefault="005E4CF6" w:rsidP="005F534C">
            <w:pPr>
              <w:jc w:val="center"/>
              <w:rPr>
                <w:color w:val="000000"/>
                <w:sz w:val="20"/>
                <w:szCs w:val="20"/>
              </w:rPr>
            </w:pPr>
            <w:r w:rsidRPr="0001294E">
              <w:rPr>
                <w:color w:val="000000"/>
                <w:sz w:val="20"/>
                <w:szCs w:val="20"/>
              </w:rPr>
              <w:t>ct/kWh</w:t>
            </w:r>
          </w:p>
        </w:tc>
        <w:tc>
          <w:tcPr>
            <w:tcW w:w="1796" w:type="dxa"/>
            <w:tcBorders>
              <w:top w:val="nil"/>
              <w:left w:val="nil"/>
              <w:bottom w:val="single" w:sz="4" w:space="0" w:color="auto"/>
              <w:right w:val="single" w:sz="4" w:space="0" w:color="auto"/>
            </w:tcBorders>
            <w:noWrap/>
            <w:vAlign w:val="center"/>
            <w:hideMark/>
          </w:tcPr>
          <w:p w14:paraId="4B64058A" w14:textId="77777777" w:rsidR="005E4CF6" w:rsidRPr="0001294E" w:rsidRDefault="005E4CF6" w:rsidP="005F534C">
            <w:pPr>
              <w:jc w:val="center"/>
              <w:rPr>
                <w:color w:val="000000"/>
                <w:sz w:val="20"/>
                <w:szCs w:val="20"/>
              </w:rPr>
            </w:pPr>
            <w:r w:rsidRPr="0001294E">
              <w:rPr>
                <w:color w:val="000000"/>
                <w:sz w:val="20"/>
                <w:szCs w:val="20"/>
              </w:rPr>
              <w:t>5,24</w:t>
            </w:r>
          </w:p>
        </w:tc>
        <w:tc>
          <w:tcPr>
            <w:tcW w:w="1553" w:type="dxa"/>
            <w:tcBorders>
              <w:top w:val="nil"/>
              <w:left w:val="nil"/>
              <w:bottom w:val="single" w:sz="4" w:space="0" w:color="auto"/>
              <w:right w:val="single" w:sz="4" w:space="0" w:color="auto"/>
            </w:tcBorders>
            <w:noWrap/>
            <w:vAlign w:val="center"/>
            <w:hideMark/>
          </w:tcPr>
          <w:p w14:paraId="5735506E" w14:textId="77777777" w:rsidR="005E4CF6" w:rsidRPr="0001294E" w:rsidRDefault="005E4CF6" w:rsidP="005F534C">
            <w:pPr>
              <w:jc w:val="center"/>
              <w:rPr>
                <w:color w:val="000000"/>
                <w:sz w:val="20"/>
                <w:szCs w:val="20"/>
              </w:rPr>
            </w:pPr>
            <w:r w:rsidRPr="0001294E">
              <w:rPr>
                <w:color w:val="000000"/>
                <w:sz w:val="20"/>
                <w:szCs w:val="20"/>
              </w:rPr>
              <w:t>5,48</w:t>
            </w:r>
          </w:p>
        </w:tc>
        <w:tc>
          <w:tcPr>
            <w:tcW w:w="1683" w:type="dxa"/>
            <w:tcBorders>
              <w:top w:val="nil"/>
              <w:left w:val="nil"/>
              <w:bottom w:val="single" w:sz="4" w:space="0" w:color="auto"/>
              <w:right w:val="single" w:sz="4" w:space="0" w:color="auto"/>
            </w:tcBorders>
            <w:noWrap/>
            <w:vAlign w:val="center"/>
            <w:hideMark/>
          </w:tcPr>
          <w:p w14:paraId="335B68E0" w14:textId="77777777" w:rsidR="005E4CF6" w:rsidRPr="0001294E" w:rsidRDefault="005E4CF6" w:rsidP="005F534C">
            <w:pPr>
              <w:jc w:val="center"/>
              <w:rPr>
                <w:color w:val="000000"/>
                <w:sz w:val="20"/>
                <w:szCs w:val="20"/>
              </w:rPr>
            </w:pPr>
            <w:r w:rsidRPr="0001294E">
              <w:rPr>
                <w:color w:val="000000"/>
                <w:sz w:val="20"/>
                <w:szCs w:val="20"/>
              </w:rPr>
              <w:t>0,24</w:t>
            </w:r>
          </w:p>
        </w:tc>
      </w:tr>
      <w:tr w:rsidR="005E4CF6" w:rsidRPr="0001294E" w14:paraId="05DC7C13" w14:textId="77777777" w:rsidTr="005F534C">
        <w:trPr>
          <w:trHeight w:val="260"/>
        </w:trPr>
        <w:tc>
          <w:tcPr>
            <w:tcW w:w="3291" w:type="dxa"/>
            <w:vMerge w:val="restart"/>
            <w:tcBorders>
              <w:top w:val="nil"/>
              <w:left w:val="single" w:sz="4" w:space="0" w:color="auto"/>
              <w:bottom w:val="single" w:sz="4" w:space="0" w:color="000000"/>
              <w:right w:val="single" w:sz="4" w:space="0" w:color="auto"/>
            </w:tcBorders>
            <w:noWrap/>
            <w:vAlign w:val="center"/>
            <w:hideMark/>
          </w:tcPr>
          <w:p w14:paraId="40F9C959" w14:textId="77777777" w:rsidR="005E4CF6" w:rsidRPr="0001294E" w:rsidRDefault="005E4CF6" w:rsidP="005F534C">
            <w:pPr>
              <w:ind w:firstLineChars="200" w:firstLine="400"/>
              <w:rPr>
                <w:color w:val="000000"/>
                <w:sz w:val="20"/>
                <w:szCs w:val="20"/>
              </w:rPr>
            </w:pPr>
            <w:r w:rsidRPr="0001294E">
              <w:rPr>
                <w:color w:val="000000"/>
                <w:sz w:val="20"/>
                <w:szCs w:val="20"/>
              </w:rPr>
              <w:t>pajamų lygio kintamoji dalis</w:t>
            </w:r>
          </w:p>
        </w:tc>
        <w:tc>
          <w:tcPr>
            <w:tcW w:w="1260" w:type="dxa"/>
            <w:tcBorders>
              <w:top w:val="nil"/>
              <w:left w:val="nil"/>
              <w:bottom w:val="single" w:sz="4" w:space="0" w:color="auto"/>
              <w:right w:val="single" w:sz="4" w:space="0" w:color="auto"/>
            </w:tcBorders>
            <w:noWrap/>
            <w:vAlign w:val="center"/>
            <w:hideMark/>
          </w:tcPr>
          <w:p w14:paraId="49AE38EB" w14:textId="77777777" w:rsidR="005E4CF6" w:rsidRPr="0001294E" w:rsidRDefault="005E4CF6" w:rsidP="005F534C">
            <w:pPr>
              <w:jc w:val="center"/>
              <w:rPr>
                <w:color w:val="000000"/>
                <w:sz w:val="20"/>
                <w:szCs w:val="20"/>
              </w:rPr>
            </w:pPr>
            <w:r w:rsidRPr="0001294E">
              <w:rPr>
                <w:color w:val="000000"/>
                <w:sz w:val="20"/>
                <w:szCs w:val="20"/>
              </w:rPr>
              <w:t>Eur</w:t>
            </w:r>
          </w:p>
        </w:tc>
        <w:tc>
          <w:tcPr>
            <w:tcW w:w="1796" w:type="dxa"/>
            <w:tcBorders>
              <w:top w:val="nil"/>
              <w:left w:val="nil"/>
              <w:bottom w:val="single" w:sz="4" w:space="0" w:color="auto"/>
              <w:right w:val="single" w:sz="4" w:space="0" w:color="auto"/>
            </w:tcBorders>
            <w:noWrap/>
            <w:vAlign w:val="center"/>
            <w:hideMark/>
          </w:tcPr>
          <w:p w14:paraId="3BCA6431" w14:textId="77777777" w:rsidR="005E4CF6" w:rsidRPr="0001294E" w:rsidRDefault="005E4CF6" w:rsidP="005F534C">
            <w:pPr>
              <w:jc w:val="center"/>
              <w:rPr>
                <w:color w:val="000000"/>
                <w:sz w:val="20"/>
                <w:szCs w:val="20"/>
              </w:rPr>
            </w:pPr>
            <w:r w:rsidRPr="0001294E">
              <w:rPr>
                <w:color w:val="000000"/>
                <w:sz w:val="20"/>
                <w:szCs w:val="20"/>
              </w:rPr>
              <w:t>1</w:t>
            </w:r>
            <w:r>
              <w:rPr>
                <w:color w:val="000000"/>
                <w:sz w:val="20"/>
                <w:szCs w:val="20"/>
              </w:rPr>
              <w:t> 714 004</w:t>
            </w:r>
          </w:p>
        </w:tc>
        <w:tc>
          <w:tcPr>
            <w:tcW w:w="1553" w:type="dxa"/>
            <w:tcBorders>
              <w:top w:val="nil"/>
              <w:left w:val="nil"/>
              <w:bottom w:val="single" w:sz="4" w:space="0" w:color="auto"/>
              <w:right w:val="single" w:sz="4" w:space="0" w:color="auto"/>
            </w:tcBorders>
            <w:noWrap/>
            <w:vAlign w:val="center"/>
            <w:hideMark/>
          </w:tcPr>
          <w:p w14:paraId="5E7276F4" w14:textId="77777777" w:rsidR="005E4CF6" w:rsidRPr="0001294E" w:rsidRDefault="005E4CF6" w:rsidP="005F534C">
            <w:pPr>
              <w:jc w:val="center"/>
              <w:rPr>
                <w:color w:val="000000"/>
                <w:sz w:val="20"/>
                <w:szCs w:val="20"/>
              </w:rPr>
            </w:pPr>
            <w:r w:rsidRPr="0001294E">
              <w:rPr>
                <w:color w:val="000000"/>
                <w:sz w:val="20"/>
                <w:szCs w:val="20"/>
              </w:rPr>
              <w:t>1</w:t>
            </w:r>
            <w:r>
              <w:rPr>
                <w:color w:val="000000"/>
                <w:sz w:val="20"/>
                <w:szCs w:val="20"/>
              </w:rPr>
              <w:t> 723 837</w:t>
            </w:r>
          </w:p>
        </w:tc>
        <w:tc>
          <w:tcPr>
            <w:tcW w:w="1683" w:type="dxa"/>
            <w:tcBorders>
              <w:top w:val="nil"/>
              <w:left w:val="nil"/>
              <w:bottom w:val="single" w:sz="4" w:space="0" w:color="auto"/>
              <w:right w:val="single" w:sz="4" w:space="0" w:color="auto"/>
            </w:tcBorders>
            <w:noWrap/>
            <w:vAlign w:val="center"/>
            <w:hideMark/>
          </w:tcPr>
          <w:p w14:paraId="684A4F98" w14:textId="77777777" w:rsidR="005E4CF6" w:rsidRPr="0001294E" w:rsidRDefault="005E4CF6" w:rsidP="005F534C">
            <w:pPr>
              <w:jc w:val="center"/>
              <w:rPr>
                <w:color w:val="000000"/>
                <w:sz w:val="20"/>
                <w:szCs w:val="20"/>
              </w:rPr>
            </w:pPr>
            <w:r w:rsidRPr="0001294E">
              <w:rPr>
                <w:color w:val="000000"/>
                <w:sz w:val="20"/>
                <w:szCs w:val="20"/>
              </w:rPr>
              <w:t xml:space="preserve">9 </w:t>
            </w:r>
            <w:r>
              <w:rPr>
                <w:color w:val="000000"/>
                <w:sz w:val="20"/>
                <w:szCs w:val="20"/>
              </w:rPr>
              <w:t>833</w:t>
            </w:r>
          </w:p>
        </w:tc>
      </w:tr>
      <w:tr w:rsidR="005E4CF6" w:rsidRPr="0001294E" w14:paraId="23095023" w14:textId="77777777" w:rsidTr="005F534C">
        <w:trPr>
          <w:trHeight w:val="260"/>
        </w:trPr>
        <w:tc>
          <w:tcPr>
            <w:tcW w:w="3291" w:type="dxa"/>
            <w:vMerge/>
            <w:tcBorders>
              <w:top w:val="nil"/>
              <w:left w:val="single" w:sz="4" w:space="0" w:color="auto"/>
              <w:bottom w:val="single" w:sz="4" w:space="0" w:color="000000"/>
              <w:right w:val="single" w:sz="4" w:space="0" w:color="auto"/>
            </w:tcBorders>
            <w:vAlign w:val="center"/>
            <w:hideMark/>
          </w:tcPr>
          <w:p w14:paraId="7690900F" w14:textId="77777777" w:rsidR="005E4CF6" w:rsidRPr="0001294E" w:rsidRDefault="005E4CF6" w:rsidP="005F534C">
            <w:pPr>
              <w:rPr>
                <w:color w:val="000000"/>
                <w:sz w:val="20"/>
                <w:szCs w:val="20"/>
              </w:rPr>
            </w:pPr>
          </w:p>
        </w:tc>
        <w:tc>
          <w:tcPr>
            <w:tcW w:w="1260" w:type="dxa"/>
            <w:tcBorders>
              <w:top w:val="nil"/>
              <w:left w:val="nil"/>
              <w:bottom w:val="single" w:sz="4" w:space="0" w:color="auto"/>
              <w:right w:val="single" w:sz="4" w:space="0" w:color="auto"/>
            </w:tcBorders>
            <w:noWrap/>
            <w:vAlign w:val="center"/>
            <w:hideMark/>
          </w:tcPr>
          <w:p w14:paraId="22F38144" w14:textId="77777777" w:rsidR="005E4CF6" w:rsidRPr="0001294E" w:rsidRDefault="005E4CF6" w:rsidP="005F534C">
            <w:pPr>
              <w:jc w:val="center"/>
              <w:rPr>
                <w:color w:val="000000"/>
                <w:sz w:val="20"/>
                <w:szCs w:val="20"/>
              </w:rPr>
            </w:pPr>
            <w:r w:rsidRPr="0001294E">
              <w:rPr>
                <w:color w:val="000000"/>
                <w:sz w:val="20"/>
                <w:szCs w:val="20"/>
              </w:rPr>
              <w:t>ct/kWh</w:t>
            </w:r>
          </w:p>
        </w:tc>
        <w:tc>
          <w:tcPr>
            <w:tcW w:w="1796" w:type="dxa"/>
            <w:tcBorders>
              <w:top w:val="nil"/>
              <w:left w:val="nil"/>
              <w:bottom w:val="single" w:sz="4" w:space="0" w:color="auto"/>
              <w:right w:val="single" w:sz="4" w:space="0" w:color="auto"/>
            </w:tcBorders>
            <w:noWrap/>
            <w:vAlign w:val="center"/>
            <w:hideMark/>
          </w:tcPr>
          <w:p w14:paraId="72B2E43E" w14:textId="77777777" w:rsidR="005E4CF6" w:rsidRPr="0001294E" w:rsidRDefault="005E4CF6" w:rsidP="005F534C">
            <w:pPr>
              <w:jc w:val="center"/>
              <w:rPr>
                <w:color w:val="000000"/>
                <w:sz w:val="20"/>
                <w:szCs w:val="20"/>
              </w:rPr>
            </w:pPr>
            <w:r w:rsidRPr="0001294E">
              <w:rPr>
                <w:color w:val="000000"/>
                <w:sz w:val="20"/>
                <w:szCs w:val="20"/>
              </w:rPr>
              <w:t>4,</w:t>
            </w:r>
            <w:r>
              <w:rPr>
                <w:color w:val="000000"/>
                <w:sz w:val="20"/>
                <w:szCs w:val="20"/>
              </w:rPr>
              <w:t>31</w:t>
            </w:r>
          </w:p>
        </w:tc>
        <w:tc>
          <w:tcPr>
            <w:tcW w:w="1553" w:type="dxa"/>
            <w:tcBorders>
              <w:top w:val="nil"/>
              <w:left w:val="nil"/>
              <w:bottom w:val="single" w:sz="4" w:space="0" w:color="auto"/>
              <w:right w:val="single" w:sz="4" w:space="0" w:color="auto"/>
            </w:tcBorders>
            <w:noWrap/>
            <w:vAlign w:val="center"/>
            <w:hideMark/>
          </w:tcPr>
          <w:p w14:paraId="53EB16DB" w14:textId="77777777" w:rsidR="005E4CF6" w:rsidRPr="0001294E" w:rsidRDefault="005E4CF6" w:rsidP="005F534C">
            <w:pPr>
              <w:jc w:val="center"/>
              <w:rPr>
                <w:color w:val="000000"/>
                <w:sz w:val="20"/>
                <w:szCs w:val="20"/>
              </w:rPr>
            </w:pPr>
            <w:r w:rsidRPr="0001294E">
              <w:rPr>
                <w:color w:val="000000"/>
                <w:sz w:val="20"/>
                <w:szCs w:val="20"/>
              </w:rPr>
              <w:t>4,</w:t>
            </w:r>
            <w:r>
              <w:rPr>
                <w:color w:val="000000"/>
                <w:sz w:val="20"/>
                <w:szCs w:val="20"/>
              </w:rPr>
              <w:t>35</w:t>
            </w:r>
          </w:p>
        </w:tc>
        <w:tc>
          <w:tcPr>
            <w:tcW w:w="1683" w:type="dxa"/>
            <w:tcBorders>
              <w:top w:val="nil"/>
              <w:left w:val="nil"/>
              <w:bottom w:val="single" w:sz="4" w:space="0" w:color="auto"/>
              <w:right w:val="single" w:sz="4" w:space="0" w:color="auto"/>
            </w:tcBorders>
            <w:noWrap/>
            <w:vAlign w:val="center"/>
            <w:hideMark/>
          </w:tcPr>
          <w:p w14:paraId="7CD8C4F8" w14:textId="77777777" w:rsidR="005E4CF6" w:rsidRPr="0001294E" w:rsidRDefault="005E4CF6" w:rsidP="005F534C">
            <w:pPr>
              <w:jc w:val="center"/>
              <w:rPr>
                <w:color w:val="000000"/>
                <w:sz w:val="20"/>
                <w:szCs w:val="20"/>
              </w:rPr>
            </w:pPr>
            <w:r w:rsidRPr="0001294E">
              <w:rPr>
                <w:color w:val="000000"/>
                <w:sz w:val="20"/>
                <w:szCs w:val="20"/>
              </w:rPr>
              <w:t>0,0</w:t>
            </w:r>
            <w:r>
              <w:rPr>
                <w:color w:val="000000"/>
                <w:sz w:val="20"/>
                <w:szCs w:val="20"/>
              </w:rPr>
              <w:t>4</w:t>
            </w:r>
          </w:p>
        </w:tc>
      </w:tr>
      <w:tr w:rsidR="005E4CF6" w:rsidRPr="0001294E" w14:paraId="7451A649" w14:textId="77777777" w:rsidTr="005F534C">
        <w:trPr>
          <w:trHeight w:val="260"/>
        </w:trPr>
        <w:tc>
          <w:tcPr>
            <w:tcW w:w="3291" w:type="dxa"/>
            <w:vMerge w:val="restart"/>
            <w:tcBorders>
              <w:top w:val="nil"/>
              <w:left w:val="single" w:sz="4" w:space="0" w:color="auto"/>
              <w:bottom w:val="single" w:sz="4" w:space="0" w:color="auto"/>
              <w:right w:val="single" w:sz="4" w:space="0" w:color="auto"/>
            </w:tcBorders>
            <w:noWrap/>
            <w:vAlign w:val="center"/>
            <w:hideMark/>
          </w:tcPr>
          <w:p w14:paraId="375413E0" w14:textId="77777777" w:rsidR="005E4CF6" w:rsidRPr="0001294E" w:rsidRDefault="005E4CF6" w:rsidP="005F534C">
            <w:pPr>
              <w:ind w:firstLineChars="200" w:firstLine="400"/>
              <w:rPr>
                <w:color w:val="000000"/>
                <w:sz w:val="20"/>
                <w:szCs w:val="20"/>
              </w:rPr>
            </w:pPr>
            <w:r w:rsidRPr="0001294E">
              <w:rPr>
                <w:color w:val="000000"/>
                <w:sz w:val="20"/>
                <w:szCs w:val="20"/>
              </w:rPr>
              <w:t>pajamų lygio papildoma dalis</w:t>
            </w:r>
          </w:p>
        </w:tc>
        <w:tc>
          <w:tcPr>
            <w:tcW w:w="1260" w:type="dxa"/>
            <w:tcBorders>
              <w:top w:val="nil"/>
              <w:left w:val="nil"/>
              <w:bottom w:val="single" w:sz="4" w:space="0" w:color="auto"/>
              <w:right w:val="single" w:sz="4" w:space="0" w:color="auto"/>
            </w:tcBorders>
            <w:noWrap/>
            <w:vAlign w:val="center"/>
            <w:hideMark/>
          </w:tcPr>
          <w:p w14:paraId="2F8B44F4" w14:textId="77777777" w:rsidR="005E4CF6" w:rsidRPr="0001294E" w:rsidRDefault="005E4CF6" w:rsidP="005F534C">
            <w:pPr>
              <w:jc w:val="center"/>
              <w:rPr>
                <w:color w:val="000000"/>
                <w:sz w:val="20"/>
                <w:szCs w:val="20"/>
              </w:rPr>
            </w:pPr>
            <w:r w:rsidRPr="0001294E">
              <w:rPr>
                <w:color w:val="000000"/>
                <w:sz w:val="20"/>
                <w:szCs w:val="20"/>
              </w:rPr>
              <w:t>Eur</w:t>
            </w:r>
          </w:p>
        </w:tc>
        <w:tc>
          <w:tcPr>
            <w:tcW w:w="1796" w:type="dxa"/>
            <w:tcBorders>
              <w:top w:val="nil"/>
              <w:left w:val="nil"/>
              <w:bottom w:val="single" w:sz="4" w:space="0" w:color="auto"/>
              <w:right w:val="single" w:sz="4" w:space="0" w:color="auto"/>
            </w:tcBorders>
            <w:noWrap/>
            <w:vAlign w:val="center"/>
            <w:hideMark/>
          </w:tcPr>
          <w:p w14:paraId="0CE1108C" w14:textId="77777777" w:rsidR="005E4CF6" w:rsidRPr="0001294E" w:rsidRDefault="005E4CF6" w:rsidP="005F534C">
            <w:pPr>
              <w:jc w:val="center"/>
              <w:rPr>
                <w:color w:val="000000"/>
                <w:sz w:val="20"/>
                <w:szCs w:val="20"/>
              </w:rPr>
            </w:pPr>
            <w:r w:rsidRPr="0001294E">
              <w:rPr>
                <w:color w:val="000000"/>
                <w:sz w:val="20"/>
                <w:szCs w:val="20"/>
              </w:rPr>
              <w:t>-90 935</w:t>
            </w:r>
          </w:p>
        </w:tc>
        <w:tc>
          <w:tcPr>
            <w:tcW w:w="1553" w:type="dxa"/>
            <w:tcBorders>
              <w:top w:val="nil"/>
              <w:left w:val="nil"/>
              <w:bottom w:val="single" w:sz="4" w:space="0" w:color="auto"/>
              <w:right w:val="single" w:sz="4" w:space="0" w:color="auto"/>
            </w:tcBorders>
            <w:noWrap/>
            <w:vAlign w:val="center"/>
            <w:hideMark/>
          </w:tcPr>
          <w:p w14:paraId="31447E69" w14:textId="77777777" w:rsidR="005E4CF6" w:rsidRPr="0001294E" w:rsidRDefault="005E4CF6" w:rsidP="005F534C">
            <w:pPr>
              <w:jc w:val="center"/>
              <w:rPr>
                <w:color w:val="000000"/>
                <w:sz w:val="20"/>
                <w:szCs w:val="20"/>
              </w:rPr>
            </w:pPr>
            <w:r w:rsidRPr="0001294E">
              <w:rPr>
                <w:color w:val="000000"/>
                <w:sz w:val="20"/>
                <w:szCs w:val="20"/>
              </w:rPr>
              <w:t>-90 777</w:t>
            </w:r>
          </w:p>
        </w:tc>
        <w:tc>
          <w:tcPr>
            <w:tcW w:w="1683" w:type="dxa"/>
            <w:tcBorders>
              <w:top w:val="nil"/>
              <w:left w:val="nil"/>
              <w:bottom w:val="single" w:sz="4" w:space="0" w:color="auto"/>
              <w:right w:val="single" w:sz="4" w:space="0" w:color="auto"/>
            </w:tcBorders>
            <w:noWrap/>
            <w:vAlign w:val="center"/>
            <w:hideMark/>
          </w:tcPr>
          <w:p w14:paraId="2BB25AC9" w14:textId="77777777" w:rsidR="005E4CF6" w:rsidRPr="0001294E" w:rsidRDefault="005E4CF6" w:rsidP="005F534C">
            <w:pPr>
              <w:jc w:val="center"/>
              <w:rPr>
                <w:color w:val="000000"/>
                <w:sz w:val="20"/>
                <w:szCs w:val="20"/>
              </w:rPr>
            </w:pPr>
            <w:r w:rsidRPr="0001294E">
              <w:rPr>
                <w:color w:val="000000"/>
                <w:sz w:val="20"/>
                <w:szCs w:val="20"/>
              </w:rPr>
              <w:t>158</w:t>
            </w:r>
          </w:p>
        </w:tc>
      </w:tr>
      <w:tr w:rsidR="005E4CF6" w:rsidRPr="0001294E" w14:paraId="1B2D3FC6" w14:textId="77777777" w:rsidTr="005F534C">
        <w:trPr>
          <w:trHeight w:val="260"/>
        </w:trPr>
        <w:tc>
          <w:tcPr>
            <w:tcW w:w="3291" w:type="dxa"/>
            <w:vMerge/>
            <w:tcBorders>
              <w:top w:val="nil"/>
              <w:left w:val="single" w:sz="4" w:space="0" w:color="auto"/>
              <w:bottom w:val="single" w:sz="4" w:space="0" w:color="auto"/>
              <w:right w:val="single" w:sz="4" w:space="0" w:color="auto"/>
            </w:tcBorders>
            <w:vAlign w:val="center"/>
            <w:hideMark/>
          </w:tcPr>
          <w:p w14:paraId="7B65337B" w14:textId="77777777" w:rsidR="005E4CF6" w:rsidRPr="0001294E" w:rsidRDefault="005E4CF6" w:rsidP="005F534C">
            <w:pPr>
              <w:rPr>
                <w:color w:val="000000"/>
                <w:sz w:val="20"/>
                <w:szCs w:val="20"/>
              </w:rPr>
            </w:pPr>
          </w:p>
        </w:tc>
        <w:tc>
          <w:tcPr>
            <w:tcW w:w="1260" w:type="dxa"/>
            <w:tcBorders>
              <w:top w:val="nil"/>
              <w:left w:val="nil"/>
              <w:bottom w:val="single" w:sz="4" w:space="0" w:color="auto"/>
              <w:right w:val="single" w:sz="4" w:space="0" w:color="auto"/>
            </w:tcBorders>
            <w:noWrap/>
            <w:vAlign w:val="center"/>
            <w:hideMark/>
          </w:tcPr>
          <w:p w14:paraId="7474E45A" w14:textId="77777777" w:rsidR="005E4CF6" w:rsidRPr="0001294E" w:rsidRDefault="005E4CF6" w:rsidP="005F534C">
            <w:pPr>
              <w:jc w:val="center"/>
              <w:rPr>
                <w:color w:val="000000"/>
                <w:sz w:val="20"/>
                <w:szCs w:val="20"/>
              </w:rPr>
            </w:pPr>
            <w:r w:rsidRPr="0001294E">
              <w:rPr>
                <w:color w:val="000000"/>
                <w:sz w:val="20"/>
                <w:szCs w:val="20"/>
              </w:rPr>
              <w:t>ct/kWh</w:t>
            </w:r>
          </w:p>
        </w:tc>
        <w:tc>
          <w:tcPr>
            <w:tcW w:w="1796" w:type="dxa"/>
            <w:tcBorders>
              <w:top w:val="nil"/>
              <w:left w:val="nil"/>
              <w:bottom w:val="single" w:sz="4" w:space="0" w:color="auto"/>
              <w:right w:val="single" w:sz="4" w:space="0" w:color="auto"/>
            </w:tcBorders>
            <w:noWrap/>
            <w:vAlign w:val="center"/>
            <w:hideMark/>
          </w:tcPr>
          <w:p w14:paraId="43693579" w14:textId="77777777" w:rsidR="005E4CF6" w:rsidRPr="0001294E" w:rsidRDefault="005E4CF6" w:rsidP="005F534C">
            <w:pPr>
              <w:jc w:val="center"/>
              <w:rPr>
                <w:color w:val="000000"/>
                <w:sz w:val="20"/>
                <w:szCs w:val="20"/>
              </w:rPr>
            </w:pPr>
            <w:r w:rsidRPr="0001294E">
              <w:rPr>
                <w:color w:val="000000"/>
                <w:sz w:val="20"/>
                <w:szCs w:val="20"/>
              </w:rPr>
              <w:t>-0,26</w:t>
            </w:r>
          </w:p>
        </w:tc>
        <w:tc>
          <w:tcPr>
            <w:tcW w:w="1553" w:type="dxa"/>
            <w:tcBorders>
              <w:top w:val="nil"/>
              <w:left w:val="nil"/>
              <w:bottom w:val="single" w:sz="4" w:space="0" w:color="auto"/>
              <w:right w:val="single" w:sz="4" w:space="0" w:color="auto"/>
            </w:tcBorders>
            <w:noWrap/>
            <w:vAlign w:val="center"/>
            <w:hideMark/>
          </w:tcPr>
          <w:p w14:paraId="363548A3" w14:textId="77777777" w:rsidR="005E4CF6" w:rsidRPr="0001294E" w:rsidRDefault="005E4CF6" w:rsidP="005F534C">
            <w:pPr>
              <w:jc w:val="center"/>
              <w:rPr>
                <w:color w:val="000000"/>
                <w:sz w:val="20"/>
                <w:szCs w:val="20"/>
              </w:rPr>
            </w:pPr>
            <w:r w:rsidRPr="0001294E">
              <w:rPr>
                <w:color w:val="000000"/>
                <w:sz w:val="20"/>
                <w:szCs w:val="20"/>
              </w:rPr>
              <w:t>-0,26</w:t>
            </w:r>
          </w:p>
        </w:tc>
        <w:tc>
          <w:tcPr>
            <w:tcW w:w="1683" w:type="dxa"/>
            <w:tcBorders>
              <w:top w:val="nil"/>
              <w:left w:val="nil"/>
              <w:bottom w:val="single" w:sz="4" w:space="0" w:color="auto"/>
              <w:right w:val="single" w:sz="4" w:space="0" w:color="auto"/>
            </w:tcBorders>
            <w:noWrap/>
            <w:vAlign w:val="center"/>
            <w:hideMark/>
          </w:tcPr>
          <w:p w14:paraId="35305B59" w14:textId="77777777" w:rsidR="005E4CF6" w:rsidRPr="0001294E" w:rsidRDefault="005E4CF6" w:rsidP="005F534C">
            <w:pPr>
              <w:jc w:val="center"/>
              <w:rPr>
                <w:color w:val="000000"/>
                <w:sz w:val="20"/>
                <w:szCs w:val="20"/>
              </w:rPr>
            </w:pPr>
            <w:r w:rsidRPr="0001294E">
              <w:rPr>
                <w:color w:val="000000"/>
                <w:sz w:val="20"/>
                <w:szCs w:val="20"/>
              </w:rPr>
              <w:t>-</w:t>
            </w:r>
          </w:p>
        </w:tc>
      </w:tr>
    </w:tbl>
    <w:p w14:paraId="31F44B9F" w14:textId="77777777" w:rsidR="005E4CF6" w:rsidRPr="002645F8" w:rsidRDefault="005E4CF6" w:rsidP="005E4CF6">
      <w:pPr>
        <w:ind w:firstLine="567"/>
        <w:jc w:val="both"/>
        <w:rPr>
          <w:lang w:val="en-US"/>
        </w:rPr>
      </w:pPr>
    </w:p>
    <w:p w14:paraId="0405F18D" w14:textId="77777777" w:rsidR="005E4CF6" w:rsidRDefault="005E4CF6" w:rsidP="005E4CF6">
      <w:pPr>
        <w:autoSpaceDE w:val="0"/>
        <w:autoSpaceDN w:val="0"/>
        <w:adjustRightInd w:val="0"/>
        <w:ind w:firstLine="720"/>
        <w:jc w:val="both"/>
        <w:rPr>
          <w:rFonts w:eastAsia="TimesNewRomanPSMT"/>
        </w:rPr>
      </w:pPr>
      <w:r>
        <w:rPr>
          <w:rFonts w:eastAsia="TimesNewRomanPSMT"/>
        </w:rPr>
        <w:t>Bendrovės</w:t>
      </w:r>
      <w:r w:rsidRPr="00581C18">
        <w:rPr>
          <w:rFonts w:eastAsia="TimesNewRomanPSMT"/>
        </w:rPr>
        <w:t xml:space="preserve"> skaičiavimais, po Pajamų bazinio lygio koregavimo </w:t>
      </w:r>
      <w:r w:rsidRPr="00D50D6F">
        <w:rPr>
          <w:rFonts w:eastAsia="TimesNewRomanPSMT"/>
          <w:b/>
          <w:bCs/>
        </w:rPr>
        <w:t xml:space="preserve">projekcinė 2025 m. lapkričio mėn. šilumos kaina, palyginti su galiojančia kaina, didėja </w:t>
      </w:r>
      <w:r w:rsidRPr="00D50D6F">
        <w:rPr>
          <w:rFonts w:eastAsia="TimesNewRomanPSMT"/>
        </w:rPr>
        <w:t>nuo 9,29 ct/kWh iki 9,57 ct/kWh, t. y.</w:t>
      </w:r>
      <w:r>
        <w:rPr>
          <w:rFonts w:eastAsia="TimesNewRomanPSMT"/>
        </w:rPr>
        <w:t xml:space="preserve"> </w:t>
      </w:r>
      <w:r w:rsidRPr="00D50D6F">
        <w:rPr>
          <w:rFonts w:eastAsia="TimesNewRomanPSMT"/>
          <w:b/>
          <w:bCs/>
        </w:rPr>
        <w:t xml:space="preserve">0,28 ct/kWh. </w:t>
      </w:r>
      <w:r w:rsidRPr="00D50D6F">
        <w:rPr>
          <w:rFonts w:eastAsia="TimesNewRomanPSMT"/>
        </w:rPr>
        <w:t>Perskaičiuota pastovioji dedamoji šilumos kainą</w:t>
      </w:r>
      <w:r w:rsidRPr="001D2F14">
        <w:rPr>
          <w:rFonts w:eastAsia="TimesNewRomanPSMT"/>
        </w:rPr>
        <w:t xml:space="preserve"> </w:t>
      </w:r>
      <w:r w:rsidRPr="00581C18">
        <w:rPr>
          <w:rFonts w:eastAsia="TimesNewRomanPSMT"/>
        </w:rPr>
        <w:t>didina 0,</w:t>
      </w:r>
      <w:r>
        <w:rPr>
          <w:rFonts w:eastAsia="TimesNewRomanPSMT"/>
        </w:rPr>
        <w:t xml:space="preserve">24 </w:t>
      </w:r>
      <w:r w:rsidRPr="00581C18">
        <w:rPr>
          <w:rFonts w:eastAsia="TimesNewRomanPSMT"/>
        </w:rPr>
        <w:t xml:space="preserve">ct/kWh, t. y. nuo </w:t>
      </w:r>
      <w:r>
        <w:rPr>
          <w:rFonts w:eastAsia="TimesNewRomanPSMT"/>
        </w:rPr>
        <w:t>5,24</w:t>
      </w:r>
      <w:r w:rsidRPr="00581C18">
        <w:rPr>
          <w:rFonts w:eastAsia="TimesNewRomanPSMT"/>
        </w:rPr>
        <w:t xml:space="preserve"> ct/kWh iki </w:t>
      </w:r>
      <w:r>
        <w:rPr>
          <w:rFonts w:eastAsia="TimesNewRomanPSMT"/>
        </w:rPr>
        <w:t>5,48</w:t>
      </w:r>
      <w:r w:rsidRPr="00581C18">
        <w:rPr>
          <w:rFonts w:eastAsia="TimesNewRomanPSMT"/>
        </w:rPr>
        <w:t xml:space="preserve"> ct/kWh. Perskaičiuota kintamoji dedamoji šilumos kainą</w:t>
      </w:r>
      <w:r>
        <w:rPr>
          <w:rFonts w:eastAsia="TimesNewRomanPSMT"/>
        </w:rPr>
        <w:t xml:space="preserve"> </w:t>
      </w:r>
      <w:r w:rsidRPr="00581C18">
        <w:rPr>
          <w:rFonts w:eastAsia="TimesNewRomanPSMT"/>
        </w:rPr>
        <w:t>didina 0,0</w:t>
      </w:r>
      <w:r>
        <w:rPr>
          <w:rFonts w:eastAsia="TimesNewRomanPSMT"/>
        </w:rPr>
        <w:t>4</w:t>
      </w:r>
      <w:r w:rsidRPr="00581C18">
        <w:rPr>
          <w:rFonts w:eastAsia="TimesNewRomanPSMT"/>
        </w:rPr>
        <w:t xml:space="preserve"> ct/kWh. </w:t>
      </w:r>
      <w:r>
        <w:rPr>
          <w:rFonts w:eastAsia="TimesNewRomanPSMT"/>
        </w:rPr>
        <w:t>Perskaičiuota p</w:t>
      </w:r>
      <w:r w:rsidRPr="00581C18">
        <w:rPr>
          <w:rFonts w:eastAsia="TimesNewRomanPSMT"/>
        </w:rPr>
        <w:t>apildoma dedamoji šilumos kain</w:t>
      </w:r>
      <w:r>
        <w:rPr>
          <w:rFonts w:eastAsia="TimesNewRomanPSMT"/>
        </w:rPr>
        <w:t>ai įtakos neturi</w:t>
      </w:r>
      <w:r w:rsidRPr="00581C18">
        <w:rPr>
          <w:rFonts w:eastAsia="TimesNewRomanPSMT"/>
        </w:rPr>
        <w:t>.</w:t>
      </w:r>
    </w:p>
    <w:p w14:paraId="73105914" w14:textId="1C763571" w:rsidR="005E4CF6" w:rsidRDefault="005E4CF6" w:rsidP="005E4CF6">
      <w:pPr>
        <w:autoSpaceDE w:val="0"/>
        <w:autoSpaceDN w:val="0"/>
        <w:adjustRightInd w:val="0"/>
        <w:ind w:firstLine="720"/>
        <w:jc w:val="both"/>
        <w:rPr>
          <w:rFonts w:eastAsia="TimesNewRomanPSMT"/>
        </w:rPr>
      </w:pPr>
      <w:r w:rsidRPr="00581C18">
        <w:rPr>
          <w:rFonts w:eastAsia="TimesNewRomanPSMT"/>
        </w:rPr>
        <w:t>Pažymėtina, kad šios kainos yra pateikiamos tik palyginimo tikslais ir yra projekcinės,</w:t>
      </w:r>
      <w:r>
        <w:rPr>
          <w:rFonts w:eastAsia="TimesNewRomanPSMT"/>
        </w:rPr>
        <w:t xml:space="preserve"> </w:t>
      </w:r>
      <w:r w:rsidRPr="00581C18">
        <w:rPr>
          <w:rFonts w:eastAsia="TimesNewRomanPSMT"/>
        </w:rPr>
        <w:t xml:space="preserve">apskaičiuotos įvertinus 2025 m. </w:t>
      </w:r>
      <w:r>
        <w:rPr>
          <w:rFonts w:eastAsia="TimesNewRomanPSMT"/>
        </w:rPr>
        <w:t>lapkričio</w:t>
      </w:r>
      <w:r w:rsidRPr="00581C18">
        <w:rPr>
          <w:rFonts w:eastAsia="TimesNewRomanPSMT"/>
        </w:rPr>
        <w:t xml:space="preserve"> mėn. šilumos kainos skaičiavimuose taikytą vidutinę</w:t>
      </w:r>
      <w:r>
        <w:rPr>
          <w:rFonts w:eastAsia="TimesNewRomanPSMT"/>
        </w:rPr>
        <w:t xml:space="preserve"> </w:t>
      </w:r>
      <w:r w:rsidRPr="00581C18">
        <w:rPr>
          <w:rFonts w:eastAsia="TimesNewRomanPSMT"/>
        </w:rPr>
        <w:t>svertinę kuro kainą</w:t>
      </w:r>
      <w:r>
        <w:rPr>
          <w:rFonts w:eastAsia="TimesNewRomanPSMT"/>
        </w:rPr>
        <w:t>,</w:t>
      </w:r>
      <w:r w:rsidRPr="00581C18">
        <w:rPr>
          <w:rFonts w:eastAsia="TimesNewRomanPSMT"/>
        </w:rPr>
        <w:t xml:space="preserve"> elektros energijos ir vandens technologinėms reikmėms kainas </w:t>
      </w:r>
      <w:r>
        <w:rPr>
          <w:rFonts w:eastAsia="TimesNewRomanPSMT"/>
        </w:rPr>
        <w:t>bei P</w:t>
      </w:r>
      <w:r w:rsidRPr="00581C18">
        <w:rPr>
          <w:rFonts w:eastAsia="TimesNewRomanPSMT"/>
        </w:rPr>
        <w:t xml:space="preserve">ajamų baziniame lygyje nustatytus šilumos kiekius. Vadovaujantis </w:t>
      </w:r>
      <w:r>
        <w:rPr>
          <w:rFonts w:eastAsia="TimesNewRomanPSMT"/>
        </w:rPr>
        <w:t>Šilumos kainų nustatymo me</w:t>
      </w:r>
      <w:r w:rsidRPr="00581C18">
        <w:rPr>
          <w:rFonts w:eastAsia="TimesNewRomanPSMT"/>
        </w:rPr>
        <w:t>todikos 103 punktu</w:t>
      </w:r>
      <w:r w:rsidR="00C238D6">
        <w:rPr>
          <w:rFonts w:eastAsia="TimesNewRomanPSMT"/>
        </w:rPr>
        <w:t>,</w:t>
      </w:r>
      <w:r w:rsidRPr="00581C18">
        <w:rPr>
          <w:rFonts w:eastAsia="TimesNewRomanPSMT"/>
        </w:rPr>
        <w:t xml:space="preserve"> šilumos</w:t>
      </w:r>
      <w:r>
        <w:rPr>
          <w:rFonts w:eastAsia="TimesNewRomanPSMT"/>
        </w:rPr>
        <w:t xml:space="preserve"> </w:t>
      </w:r>
      <w:r w:rsidRPr="00581C18">
        <w:rPr>
          <w:rFonts w:eastAsia="TimesNewRomanPSMT"/>
        </w:rPr>
        <w:t>tiekėjas, apskaičiuodamas kiekvieno mėnesio galutinę šilumos kainą, atsižvelgia į nustatytą Pajamų</w:t>
      </w:r>
      <w:r>
        <w:rPr>
          <w:rFonts w:eastAsia="TimesNewRomanPSMT"/>
        </w:rPr>
        <w:t xml:space="preserve"> </w:t>
      </w:r>
      <w:r w:rsidRPr="00581C18">
        <w:rPr>
          <w:rFonts w:eastAsia="TimesNewRomanPSMT"/>
        </w:rPr>
        <w:t>lygį, naudojamo kuro, elektros energijos sąnaudų pokyčius, bei kitus galutinei šilumos kainai įtaką darančius veiksnius, todėl galutinės vartotojams taikomos mėnesio šilumos kainos gali</w:t>
      </w:r>
      <w:r>
        <w:rPr>
          <w:rFonts w:eastAsia="TimesNewRomanPSMT"/>
        </w:rPr>
        <w:t xml:space="preserve"> </w:t>
      </w:r>
      <w:r w:rsidRPr="00581C18">
        <w:rPr>
          <w:rFonts w:eastAsia="TimesNewRomanPSMT"/>
        </w:rPr>
        <w:t>nesuta</w:t>
      </w:r>
      <w:r>
        <w:rPr>
          <w:rFonts w:eastAsia="TimesNewRomanPSMT"/>
        </w:rPr>
        <w:t>m</w:t>
      </w:r>
      <w:r w:rsidRPr="00581C18">
        <w:rPr>
          <w:rFonts w:eastAsia="TimesNewRomanPSMT"/>
        </w:rPr>
        <w:t>p</w:t>
      </w:r>
      <w:r>
        <w:rPr>
          <w:rFonts w:eastAsia="TimesNewRomanPSMT"/>
        </w:rPr>
        <w:t>a</w:t>
      </w:r>
      <w:r w:rsidRPr="00581C18">
        <w:rPr>
          <w:rFonts w:eastAsia="TimesNewRomanPSMT"/>
        </w:rPr>
        <w:t xml:space="preserve"> su projekcinėmis kainomis</w:t>
      </w:r>
      <w:r>
        <w:rPr>
          <w:rFonts w:eastAsia="TimesNewRomanPSMT"/>
        </w:rPr>
        <w:t>.</w:t>
      </w:r>
    </w:p>
    <w:p w14:paraId="55365092" w14:textId="77777777" w:rsidR="005E4CF6" w:rsidRPr="00DF4893" w:rsidRDefault="005E4CF6" w:rsidP="005E4CF6">
      <w:pPr>
        <w:pStyle w:val="Sraopastraipa"/>
        <w:spacing w:after="0" w:line="240" w:lineRule="auto"/>
        <w:ind w:left="0" w:firstLine="720"/>
        <w:jc w:val="both"/>
        <w:rPr>
          <w:rFonts w:ascii="Times New Roman" w:hAnsi="Times New Roman"/>
          <w:b/>
        </w:rPr>
      </w:pPr>
      <w:r w:rsidRPr="00246556">
        <w:rPr>
          <w:rFonts w:ascii="Times New Roman" w:hAnsi="Times New Roman"/>
          <w:b/>
        </w:rPr>
        <w:t xml:space="preserve">3. </w:t>
      </w:r>
      <w:r w:rsidRPr="00DF4893">
        <w:rPr>
          <w:rFonts w:ascii="Times New Roman" w:hAnsi="Times New Roman"/>
          <w:b/>
        </w:rPr>
        <w:t>Kokių rezultatų laukiama.</w:t>
      </w:r>
    </w:p>
    <w:p w14:paraId="1FBDD811" w14:textId="77777777" w:rsidR="005E4CF6" w:rsidRPr="00D50D6F" w:rsidRDefault="005E4CF6" w:rsidP="005E4CF6">
      <w:pPr>
        <w:pStyle w:val="Sraopastraipa"/>
        <w:spacing w:after="0" w:line="240" w:lineRule="auto"/>
        <w:ind w:left="0" w:firstLine="720"/>
        <w:jc w:val="both"/>
        <w:rPr>
          <w:rFonts w:ascii="Times New Roman" w:hAnsi="Times New Roman"/>
        </w:rPr>
      </w:pPr>
      <w:r w:rsidRPr="00D50D6F">
        <w:rPr>
          <w:rFonts w:ascii="Times New Roman" w:hAnsi="Times New Roman"/>
        </w:rPr>
        <w:t xml:space="preserve">Nustatytas nuo 2026 m. </w:t>
      </w:r>
      <w:r w:rsidRPr="00F06B71">
        <w:rPr>
          <w:rFonts w:ascii="Times New Roman" w:hAnsi="Times New Roman"/>
        </w:rPr>
        <w:t>vasario 1 d</w:t>
      </w:r>
      <w:r w:rsidRPr="00D50D6F">
        <w:rPr>
          <w:rFonts w:ascii="Times New Roman" w:hAnsi="Times New Roman"/>
        </w:rPr>
        <w:t>. antriesiems šilumos gamybos ir (ar) tiekimo pajamų bazinio lygio galiojimo metams UAB Kretingos šilumos tinklų šilumos gamybos ir (ar) tiekimo pajamų lygis.</w:t>
      </w:r>
    </w:p>
    <w:p w14:paraId="5116D4A6" w14:textId="77777777" w:rsidR="005E4CF6" w:rsidRPr="00DF4893" w:rsidRDefault="005E4CF6" w:rsidP="005E4CF6">
      <w:pPr>
        <w:pStyle w:val="Sraopastraipa"/>
        <w:spacing w:after="0" w:line="240" w:lineRule="auto"/>
        <w:ind w:left="0" w:firstLine="720"/>
        <w:jc w:val="both"/>
        <w:rPr>
          <w:rFonts w:ascii="Times New Roman" w:hAnsi="Times New Roman"/>
          <w:b/>
        </w:rPr>
      </w:pPr>
      <w:r w:rsidRPr="00DF4893">
        <w:rPr>
          <w:rFonts w:ascii="Times New Roman" w:hAnsi="Times New Roman"/>
          <w:b/>
        </w:rPr>
        <w:t xml:space="preserve">4. Lėšų poreikis ir šaltiniai. </w:t>
      </w:r>
    </w:p>
    <w:p w14:paraId="73E8C14A" w14:textId="77777777" w:rsidR="005E4CF6" w:rsidRPr="00DF4893" w:rsidRDefault="005E4CF6" w:rsidP="005E4CF6">
      <w:pPr>
        <w:pStyle w:val="Sraopastraipa"/>
        <w:spacing w:after="0" w:line="240" w:lineRule="auto"/>
        <w:ind w:left="0" w:firstLine="720"/>
        <w:jc w:val="both"/>
        <w:rPr>
          <w:rFonts w:ascii="Times New Roman" w:hAnsi="Times New Roman"/>
          <w:b/>
        </w:rPr>
      </w:pPr>
      <w:r>
        <w:rPr>
          <w:rFonts w:ascii="Times New Roman" w:hAnsi="Times New Roman"/>
        </w:rPr>
        <w:t xml:space="preserve">Kretingos rajono savivaldybės biudžetinių įstaigų patalpų šildymui sąnaudos padidės </w:t>
      </w:r>
      <w:r>
        <w:rPr>
          <w:rFonts w:cs="Calibri"/>
        </w:rPr>
        <w:t>~</w:t>
      </w:r>
      <w:r>
        <w:rPr>
          <w:rFonts w:ascii="Times New Roman" w:hAnsi="Times New Roman"/>
        </w:rPr>
        <w:t>3 proc.</w:t>
      </w:r>
    </w:p>
    <w:p w14:paraId="434C1DAF" w14:textId="77777777" w:rsidR="005E4CF6" w:rsidRPr="00DF4893" w:rsidRDefault="005E4CF6" w:rsidP="005E4CF6">
      <w:pPr>
        <w:pStyle w:val="Sraopastraipa"/>
        <w:spacing w:after="0" w:line="240" w:lineRule="auto"/>
        <w:ind w:left="0" w:firstLine="720"/>
        <w:jc w:val="both"/>
        <w:rPr>
          <w:rFonts w:ascii="Times New Roman" w:hAnsi="Times New Roman"/>
          <w:b/>
        </w:rPr>
      </w:pPr>
      <w:r w:rsidRPr="00DF4893">
        <w:rPr>
          <w:rFonts w:ascii="Times New Roman" w:hAnsi="Times New Roman"/>
          <w:b/>
        </w:rPr>
        <w:t>5. Kiti sprendimui priimti reikalingi pagrindimai, skaičiavimai ar paaiškinimai.</w:t>
      </w:r>
    </w:p>
    <w:p w14:paraId="5A1B8855" w14:textId="2FA2D181" w:rsidR="005E4CF6" w:rsidRPr="00DF4893" w:rsidRDefault="005E4CF6" w:rsidP="005E4CF6">
      <w:pPr>
        <w:ind w:firstLine="720"/>
        <w:jc w:val="both"/>
        <w:rPr>
          <w:bCs/>
        </w:rPr>
      </w:pPr>
      <w:r>
        <w:rPr>
          <w:bCs/>
        </w:rPr>
        <w:t xml:space="preserve">Pateikti </w:t>
      </w:r>
      <w:r w:rsidRPr="0092631F">
        <w:t>UAB Kretingos šilumos tinklų 202</w:t>
      </w:r>
      <w:r>
        <w:t>5</w:t>
      </w:r>
      <w:r w:rsidRPr="0092631F">
        <w:t xml:space="preserve"> m. </w:t>
      </w:r>
      <w:r>
        <w:t>spal</w:t>
      </w:r>
      <w:r w:rsidRPr="0092631F">
        <w:t xml:space="preserve">io </w:t>
      </w:r>
      <w:r>
        <w:t>30</w:t>
      </w:r>
      <w:r w:rsidRPr="0092631F">
        <w:t xml:space="preserve"> d. rašt</w:t>
      </w:r>
      <w:r w:rsidR="00B51DD8">
        <w:t>e</w:t>
      </w:r>
      <w:r w:rsidRPr="0092631F">
        <w:t xml:space="preserve"> Nr. R2-</w:t>
      </w:r>
      <w:r>
        <w:t>193</w:t>
      </w:r>
      <w:r w:rsidRPr="0092631F">
        <w:t xml:space="preserve"> „Dėl UAB Kretingos šilumos tinklų </w:t>
      </w:r>
      <w:r>
        <w:t>koreguoto šilumos gamybos ir (ar) tiekimo pajamų lygio nustatymo antriesiems šilumos gamybos ir (ar) tiekimo pajamų bazinio lygio galiojimo metams</w:t>
      </w:r>
      <w:r w:rsidRPr="0092631F">
        <w:t>“</w:t>
      </w:r>
      <w:r>
        <w:t>.</w:t>
      </w:r>
    </w:p>
    <w:p w14:paraId="6D4A02D6" w14:textId="77777777" w:rsidR="005E4CF6" w:rsidRDefault="005E4CF6" w:rsidP="005E4CF6">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Pr="003013A1">
        <w:rPr>
          <w:b/>
        </w:rPr>
        <w:t>.</w:t>
      </w:r>
      <w:r w:rsidRPr="00C43D07">
        <w:rPr>
          <w:b/>
          <w:bCs/>
        </w:rP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4B5BC367" w14:textId="77777777" w:rsidR="005E4CF6" w:rsidRDefault="005E4CF6" w:rsidP="005E4CF6">
      <w:pPr>
        <w:tabs>
          <w:tab w:val="left" w:pos="720"/>
          <w:tab w:val="left" w:pos="1440"/>
          <w:tab w:val="left" w:pos="2160"/>
          <w:tab w:val="left" w:pos="2880"/>
          <w:tab w:val="left" w:pos="3600"/>
          <w:tab w:val="left" w:pos="4320"/>
          <w:tab w:val="left" w:pos="5040"/>
          <w:tab w:val="left" w:pos="6435"/>
        </w:tabs>
        <w:ind w:firstLine="720"/>
        <w:jc w:val="both"/>
        <w:rPr>
          <w:b/>
        </w:rPr>
      </w:pPr>
      <w:r w:rsidRPr="00D139F1">
        <w:rPr>
          <w:color w:val="000000"/>
        </w:rPr>
        <w:t>Teisės aktuose nenumatytas teisės akto projekto antikorupcinis vertinimas</w:t>
      </w:r>
      <w:r w:rsidRPr="00C70EA2">
        <w:rPr>
          <w:color w:val="000000"/>
        </w:rPr>
        <w:t>.</w:t>
      </w:r>
    </w:p>
    <w:p w14:paraId="1A642368" w14:textId="77777777" w:rsidR="005E4CF6" w:rsidRDefault="005E4CF6" w:rsidP="005E4CF6">
      <w:pPr>
        <w:tabs>
          <w:tab w:val="left" w:pos="720"/>
          <w:tab w:val="left" w:pos="1440"/>
          <w:tab w:val="left" w:pos="2160"/>
          <w:tab w:val="left" w:pos="2880"/>
          <w:tab w:val="left" w:pos="3600"/>
          <w:tab w:val="left" w:pos="4320"/>
          <w:tab w:val="left" w:pos="5040"/>
          <w:tab w:val="left" w:pos="6435"/>
        </w:tabs>
        <w:ind w:firstLine="720"/>
        <w:jc w:val="both"/>
      </w:pPr>
      <w:r>
        <w:rPr>
          <w:b/>
        </w:rPr>
        <w:t xml:space="preserve">7. </w:t>
      </w:r>
      <w:r w:rsidRPr="003013A1">
        <w:rPr>
          <w:b/>
        </w:rPr>
        <w:t>Autorius ar autorių grupė</w:t>
      </w:r>
      <w:r>
        <w:t>.</w:t>
      </w:r>
    </w:p>
    <w:p w14:paraId="39863906" w14:textId="099D5B2D" w:rsidR="005E4CF6" w:rsidRPr="005E4CF6" w:rsidRDefault="005E4CF6" w:rsidP="005E4CF6">
      <w:pPr>
        <w:tabs>
          <w:tab w:val="left" w:pos="720"/>
          <w:tab w:val="left" w:pos="1440"/>
          <w:tab w:val="left" w:pos="2160"/>
          <w:tab w:val="left" w:pos="2880"/>
          <w:tab w:val="left" w:pos="3600"/>
          <w:tab w:val="left" w:pos="4320"/>
          <w:tab w:val="left" w:pos="5040"/>
          <w:tab w:val="left" w:pos="6435"/>
        </w:tabs>
        <w:ind w:firstLine="720"/>
        <w:jc w:val="both"/>
        <w:rPr>
          <w:b/>
        </w:rPr>
      </w:pPr>
      <w:r>
        <w:t>Vietinio ūkio ir turto valdymo skyriaus patarėja Renata Ambrazevičienė.</w:t>
      </w:r>
    </w:p>
    <w:sectPr w:rsidR="005E4CF6" w:rsidRPr="005E4CF6" w:rsidSect="005E4CF6">
      <w:headerReference w:type="default" r:id="rId6"/>
      <w:headerReference w:type="firs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A3F5" w14:textId="77777777" w:rsidR="00B74CAA" w:rsidRDefault="00B74CAA" w:rsidP="005E4CF6">
      <w:r>
        <w:separator/>
      </w:r>
    </w:p>
  </w:endnote>
  <w:endnote w:type="continuationSeparator" w:id="0">
    <w:p w14:paraId="378ACEF2" w14:textId="77777777" w:rsidR="00B74CAA" w:rsidRDefault="00B74CAA" w:rsidP="005E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263F" w14:textId="77777777" w:rsidR="00B74CAA" w:rsidRDefault="00B74CAA" w:rsidP="005E4CF6">
      <w:r>
        <w:separator/>
      </w:r>
    </w:p>
  </w:footnote>
  <w:footnote w:type="continuationSeparator" w:id="0">
    <w:p w14:paraId="0934D83B" w14:textId="77777777" w:rsidR="00B74CAA" w:rsidRDefault="00B74CAA" w:rsidP="005E4CF6">
      <w:r>
        <w:continuationSeparator/>
      </w:r>
    </w:p>
  </w:footnote>
  <w:footnote w:id="1">
    <w:p w14:paraId="6D0DFA19" w14:textId="77777777" w:rsidR="005E4CF6" w:rsidRPr="00FA6337" w:rsidRDefault="005E4CF6" w:rsidP="005E4CF6">
      <w:pPr>
        <w:autoSpaceDE w:val="0"/>
        <w:autoSpaceDN w:val="0"/>
        <w:adjustRightInd w:val="0"/>
        <w:jc w:val="both"/>
      </w:pPr>
      <w:r>
        <w:rPr>
          <w:rStyle w:val="Puslapioinaosnuoroda"/>
        </w:rPr>
        <w:footnoteRef/>
      </w:r>
      <w:r>
        <w:t xml:space="preserve"> </w:t>
      </w:r>
      <w:r w:rsidRPr="00FA6337">
        <w:rPr>
          <w:sz w:val="20"/>
          <w:szCs w:val="20"/>
        </w:rPr>
        <w:t xml:space="preserve">Pagal </w:t>
      </w:r>
      <w:r w:rsidRPr="00FA6337">
        <w:rPr>
          <w:rFonts w:eastAsia="TimesNewRomanPSMT"/>
          <w:sz w:val="20"/>
          <w:szCs w:val="20"/>
        </w:rPr>
        <w:t>Lietuvos Respublikos pelno mokesčio įstatymą nuo 2025 m. sausio 1 d. ūkio subjektų pelnas apmokestinamas taikant 16 proc. mokesčio tarifą</w:t>
      </w:r>
    </w:p>
  </w:footnote>
  <w:footnote w:id="2">
    <w:p w14:paraId="4C409568" w14:textId="77777777" w:rsidR="005E4CF6" w:rsidRPr="006107AC" w:rsidRDefault="005E4CF6" w:rsidP="005E4CF6">
      <w:pPr>
        <w:pStyle w:val="Puslapioinaostekstas"/>
        <w:rPr>
          <w:lang w:val="lt-LT"/>
        </w:rPr>
      </w:pPr>
      <w:r>
        <w:rPr>
          <w:rStyle w:val="Puslapioinaosnuoroda"/>
        </w:rPr>
        <w:footnoteRef/>
      </w:r>
      <w:r>
        <w:t xml:space="preserve"> </w:t>
      </w:r>
      <w:r>
        <w:rPr>
          <w:lang w:val="lt-LT"/>
        </w:rPr>
        <w:t xml:space="preserve">0,946 tūkst. Eur / 12 mėn. x 2 mėn. </w:t>
      </w:r>
      <w:r>
        <w:rPr>
          <w:lang w:val="en-US"/>
        </w:rPr>
        <w:t xml:space="preserve">= </w:t>
      </w:r>
      <w:r>
        <w:rPr>
          <w:lang w:val="lt-LT"/>
        </w:rPr>
        <w:t>0,158 tūkst.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883A" w14:textId="77777777" w:rsidR="005E4CF6" w:rsidRDefault="005E4CF6">
    <w:pPr>
      <w:pStyle w:val="Antrats"/>
      <w:jc w:val="center"/>
    </w:pPr>
    <w:r>
      <w:fldChar w:fldCharType="begin"/>
    </w:r>
    <w:r>
      <w:instrText>PAGE   \* MERGEFORMAT</w:instrText>
    </w:r>
    <w:r>
      <w:fldChar w:fldCharType="separate"/>
    </w:r>
    <w:r>
      <w:t>2</w:t>
    </w:r>
    <w:r>
      <w:fldChar w:fldCharType="end"/>
    </w:r>
  </w:p>
  <w:p w14:paraId="636703EB" w14:textId="77777777" w:rsidR="005E4CF6" w:rsidRPr="00186D8C" w:rsidRDefault="005E4CF6" w:rsidP="00186D8C">
    <w:pPr>
      <w:pStyle w:val="Antrats"/>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2FFE" w14:textId="77777777" w:rsidR="005E4CF6" w:rsidRPr="00186D8C" w:rsidRDefault="005E4CF6" w:rsidP="00186D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F6"/>
    <w:rsid w:val="00342D4A"/>
    <w:rsid w:val="003F0216"/>
    <w:rsid w:val="00420F4E"/>
    <w:rsid w:val="005E4CF6"/>
    <w:rsid w:val="007F3889"/>
    <w:rsid w:val="00A6441E"/>
    <w:rsid w:val="00B51DD8"/>
    <w:rsid w:val="00B74CAA"/>
    <w:rsid w:val="00C238D6"/>
    <w:rsid w:val="00C8447B"/>
    <w:rsid w:val="00D23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32DB"/>
  <w15:chartTrackingRefBased/>
  <w15:docId w15:val="{E5966518-45F4-45AC-BDE3-DBC2616F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CF6"/>
    <w:pPr>
      <w:widowControl w:val="0"/>
      <w:suppressAutoHyphens/>
      <w:spacing w:after="0" w:line="240" w:lineRule="auto"/>
    </w:pPr>
    <w:rPr>
      <w:rFonts w:ascii="Times New Roman" w:eastAsia="Lucida Sans Unicode" w:hAnsi="Times New Roman" w:cs="Times New Roman"/>
      <w:kern w:val="0"/>
      <w14:ligatures w14:val="none"/>
    </w:rPr>
  </w:style>
  <w:style w:type="paragraph" w:styleId="Antrat1">
    <w:name w:val="heading 1"/>
    <w:basedOn w:val="prastasis"/>
    <w:next w:val="prastasis"/>
    <w:link w:val="Antrat1Diagrama"/>
    <w:uiPriority w:val="9"/>
    <w:qFormat/>
    <w:rsid w:val="005E4CF6"/>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E4CF6"/>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E4CF6"/>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E4CF6"/>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5E4CF6"/>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5E4CF6"/>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5E4CF6"/>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5E4CF6"/>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5E4CF6"/>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4C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4C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4C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4C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4C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4C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4C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4C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4C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4CF6"/>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E4C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4CF6"/>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E4C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4CF6"/>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5E4CF6"/>
    <w:rPr>
      <w:i/>
      <w:iCs/>
      <w:color w:val="404040" w:themeColor="text1" w:themeTint="BF"/>
    </w:rPr>
  </w:style>
  <w:style w:type="paragraph" w:styleId="Sraopastraipa">
    <w:name w:val="List Paragraph"/>
    <w:basedOn w:val="prastasis"/>
    <w:uiPriority w:val="34"/>
    <w:qFormat/>
    <w:rsid w:val="005E4CF6"/>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5E4CF6"/>
    <w:rPr>
      <w:i/>
      <w:iCs/>
      <w:color w:val="0F4761" w:themeColor="accent1" w:themeShade="BF"/>
    </w:rPr>
  </w:style>
  <w:style w:type="paragraph" w:styleId="Iskirtacitata">
    <w:name w:val="Intense Quote"/>
    <w:basedOn w:val="prastasis"/>
    <w:next w:val="prastasis"/>
    <w:link w:val="IskirtacitataDiagrama"/>
    <w:uiPriority w:val="30"/>
    <w:qFormat/>
    <w:rsid w:val="005E4CF6"/>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5E4CF6"/>
    <w:rPr>
      <w:i/>
      <w:iCs/>
      <w:color w:val="0F4761" w:themeColor="accent1" w:themeShade="BF"/>
    </w:rPr>
  </w:style>
  <w:style w:type="character" w:styleId="Rykinuoroda">
    <w:name w:val="Intense Reference"/>
    <w:basedOn w:val="Numatytasispastraiposriftas"/>
    <w:uiPriority w:val="32"/>
    <w:qFormat/>
    <w:rsid w:val="005E4CF6"/>
    <w:rPr>
      <w:b/>
      <w:bCs/>
      <w:smallCaps/>
      <w:color w:val="0F4761" w:themeColor="accent1" w:themeShade="BF"/>
      <w:spacing w:val="5"/>
    </w:rPr>
  </w:style>
  <w:style w:type="paragraph" w:styleId="Pagrindiniotekstotrauka">
    <w:name w:val="Body Text Indent"/>
    <w:basedOn w:val="prastasis"/>
    <w:link w:val="PagrindiniotekstotraukaDiagrama"/>
    <w:rsid w:val="005E4CF6"/>
    <w:pPr>
      <w:widowControl/>
      <w:suppressAutoHyphens w:val="0"/>
      <w:ind w:firstLine="720"/>
      <w:jc w:val="both"/>
    </w:pPr>
    <w:rPr>
      <w:rFonts w:eastAsia="Times New Roman"/>
      <w:szCs w:val="20"/>
    </w:rPr>
  </w:style>
  <w:style w:type="character" w:customStyle="1" w:styleId="PagrindiniotekstotraukaDiagrama">
    <w:name w:val="Pagrindinio teksto įtrauka Diagrama"/>
    <w:basedOn w:val="Numatytasispastraiposriftas"/>
    <w:link w:val="Pagrindiniotekstotrauka"/>
    <w:rsid w:val="005E4CF6"/>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5E4CF6"/>
    <w:pPr>
      <w:tabs>
        <w:tab w:val="center" w:pos="4986"/>
        <w:tab w:val="right" w:pos="9972"/>
      </w:tabs>
    </w:pPr>
  </w:style>
  <w:style w:type="character" w:customStyle="1" w:styleId="AntratsDiagrama">
    <w:name w:val="Antraštės Diagrama"/>
    <w:basedOn w:val="Numatytasispastraiposriftas"/>
    <w:link w:val="Antrats"/>
    <w:uiPriority w:val="99"/>
    <w:rsid w:val="005E4CF6"/>
    <w:rPr>
      <w:rFonts w:ascii="Times New Roman" w:eastAsia="Lucida Sans Unicode" w:hAnsi="Times New Roman" w:cs="Times New Roman"/>
      <w:kern w:val="0"/>
      <w14:ligatures w14:val="none"/>
    </w:rPr>
  </w:style>
  <w:style w:type="paragraph" w:customStyle="1" w:styleId="tajtip">
    <w:name w:val="tajtip"/>
    <w:basedOn w:val="prastasis"/>
    <w:rsid w:val="005E4CF6"/>
    <w:pPr>
      <w:widowControl/>
      <w:suppressAutoHyphens w:val="0"/>
      <w:spacing w:before="100" w:beforeAutospacing="1" w:after="100" w:afterAutospacing="1"/>
    </w:pPr>
    <w:rPr>
      <w:rFonts w:eastAsia="Times New Roman"/>
      <w:lang w:eastAsia="lt-LT"/>
    </w:rPr>
  </w:style>
  <w:style w:type="paragraph" w:styleId="Puslapioinaostekstas">
    <w:name w:val="footnote text"/>
    <w:basedOn w:val="prastasis"/>
    <w:link w:val="PuslapioinaostekstasDiagrama"/>
    <w:uiPriority w:val="99"/>
    <w:unhideWhenUsed/>
    <w:rsid w:val="005E4CF6"/>
    <w:pPr>
      <w:widowControl/>
      <w:suppressAutoHyphens w:val="0"/>
    </w:pPr>
    <w:rPr>
      <w:rFonts w:eastAsia="Times New Roman"/>
      <w:sz w:val="20"/>
      <w:szCs w:val="20"/>
      <w:lang w:val="x-none"/>
    </w:rPr>
  </w:style>
  <w:style w:type="character" w:customStyle="1" w:styleId="PuslapioinaostekstasDiagrama">
    <w:name w:val="Puslapio išnašos tekstas Diagrama"/>
    <w:basedOn w:val="Numatytasispastraiposriftas"/>
    <w:link w:val="Puslapioinaostekstas"/>
    <w:uiPriority w:val="99"/>
    <w:rsid w:val="005E4CF6"/>
    <w:rPr>
      <w:rFonts w:ascii="Times New Roman" w:eastAsia="Times New Roman" w:hAnsi="Times New Roman" w:cs="Times New Roman"/>
      <w:kern w:val="0"/>
      <w:sz w:val="20"/>
      <w:szCs w:val="20"/>
      <w:lang w:val="x-none"/>
      <w14:ligatures w14:val="none"/>
    </w:rPr>
  </w:style>
  <w:style w:type="character" w:styleId="Puslapioinaosnuoroda">
    <w:name w:val="footnote reference"/>
    <w:uiPriority w:val="99"/>
    <w:unhideWhenUsed/>
    <w:rsid w:val="005E4CF6"/>
    <w:rPr>
      <w:vertAlign w:val="superscript"/>
    </w:rPr>
  </w:style>
  <w:style w:type="paragraph" w:styleId="Pataisymai">
    <w:name w:val="Revision"/>
    <w:hidden/>
    <w:uiPriority w:val="99"/>
    <w:semiHidden/>
    <w:rsid w:val="00C8447B"/>
    <w:pPr>
      <w:spacing w:after="0" w:line="240" w:lineRule="auto"/>
    </w:pPr>
    <w:rPr>
      <w:rFonts w:ascii="Times New Roman" w:eastAsia="Lucida Sans Unicode"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8585</Words>
  <Characters>4895</Characters>
  <Application>Microsoft Office Word</Application>
  <DocSecurity>0</DocSecurity>
  <Lines>40</Lines>
  <Paragraphs>26</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Sigutė Jazbutienė</cp:lastModifiedBy>
  <cp:revision>4</cp:revision>
  <dcterms:created xsi:type="dcterms:W3CDTF">2025-11-13T18:34:00Z</dcterms:created>
  <dcterms:modified xsi:type="dcterms:W3CDTF">2025-11-13T18:35:00Z</dcterms:modified>
</cp:coreProperties>
</file>