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6833B" w14:textId="77777777" w:rsidR="002F742C" w:rsidRPr="00D65B08" w:rsidRDefault="002F742C" w:rsidP="002F742C">
      <w:pPr>
        <w:jc w:val="center"/>
        <w:rPr>
          <w:b/>
        </w:rPr>
      </w:pPr>
      <w:bookmarkStart w:id="0" w:name="_GoBack"/>
      <w:bookmarkEnd w:id="0"/>
      <w:r w:rsidRPr="00D65B08">
        <w:rPr>
          <w:b/>
        </w:rPr>
        <w:t>AIŠKINAMASIS RAŠTAS</w:t>
      </w:r>
    </w:p>
    <w:p w14:paraId="76555E00" w14:textId="77777777" w:rsidR="002F742C" w:rsidRPr="00D65B08" w:rsidRDefault="002F742C" w:rsidP="002F742C">
      <w:pPr>
        <w:jc w:val="center"/>
        <w:rPr>
          <w:b/>
        </w:rPr>
      </w:pPr>
      <w:r w:rsidRPr="00D65B08">
        <w:rPr>
          <w:b/>
        </w:rPr>
        <w:t>PRIE KRETINGOS RAJONO SAVIVALDYBĖS TARYBOS SPRENDIMO</w:t>
      </w:r>
      <w:r>
        <w:rPr>
          <w:b/>
        </w:rPr>
        <w:t xml:space="preserve"> PROJEKTO</w:t>
      </w:r>
    </w:p>
    <w:p w14:paraId="440411AC" w14:textId="77777777" w:rsidR="002F742C" w:rsidRPr="00B9025F" w:rsidRDefault="002F742C" w:rsidP="002F742C">
      <w:pPr>
        <w:jc w:val="center"/>
        <w:rPr>
          <w:rFonts w:eastAsia="Calibri"/>
          <w:b/>
          <w:szCs w:val="24"/>
        </w:rPr>
      </w:pPr>
      <w:r>
        <w:rPr>
          <w:b/>
        </w:rPr>
        <w:t>„</w:t>
      </w:r>
      <w:r w:rsidRPr="00C11EDC">
        <w:rPr>
          <w:b/>
        </w:rPr>
        <w:t>DĖL</w:t>
      </w:r>
      <w:r>
        <w:rPr>
          <w:b/>
        </w:rPr>
        <w:t xml:space="preserve"> </w:t>
      </w:r>
      <w:r w:rsidRPr="00B9025F">
        <w:rPr>
          <w:rFonts w:eastAsia="Calibri"/>
          <w:b/>
          <w:szCs w:val="24"/>
        </w:rPr>
        <w:t>KRETINGOS RAJONO SAVIVALDYBĖS TERITORIJOJE ESANČIŲ PATALPŲ IR STATINIŲ, KURIE YRA APLEISTI IR NEPRIŽIŪRIMI, NAUDOJAMI N</w:t>
      </w:r>
      <w:r>
        <w:rPr>
          <w:rFonts w:eastAsia="Calibri"/>
          <w:b/>
          <w:szCs w:val="24"/>
        </w:rPr>
        <w:t xml:space="preserve">E PAGAL PASKIRTĮ IR KURIEMS </w:t>
      </w:r>
      <w:r w:rsidRPr="00FC3632">
        <w:rPr>
          <w:rFonts w:eastAsia="Calibri"/>
          <w:b/>
          <w:szCs w:val="24"/>
        </w:rPr>
        <w:t>202</w:t>
      </w:r>
      <w:r>
        <w:rPr>
          <w:rFonts w:eastAsia="Calibri"/>
          <w:b/>
          <w:szCs w:val="24"/>
        </w:rPr>
        <w:t>5</w:t>
      </w:r>
      <w:r>
        <w:rPr>
          <w:rFonts w:eastAsia="Calibri"/>
          <w:b/>
          <w:color w:val="FF0000"/>
          <w:szCs w:val="24"/>
        </w:rPr>
        <w:t xml:space="preserve"> </w:t>
      </w:r>
      <w:r w:rsidRPr="00B9025F">
        <w:rPr>
          <w:rFonts w:eastAsia="Calibri"/>
          <w:b/>
          <w:szCs w:val="24"/>
        </w:rPr>
        <w:t>METAIS TAIKOMAS MAKSIMALUS NEKILNOJAMOJO</w:t>
      </w:r>
      <w:r>
        <w:rPr>
          <w:rFonts w:eastAsia="Calibri"/>
          <w:b/>
          <w:szCs w:val="24"/>
        </w:rPr>
        <w:t xml:space="preserve"> TURTO MOKESČIO TARIFAS, SĄRAŠO PATVIRTINIMO“</w:t>
      </w:r>
    </w:p>
    <w:p w14:paraId="6B26CE12" w14:textId="77777777" w:rsidR="002F742C" w:rsidRDefault="002F742C" w:rsidP="002F742C">
      <w:pPr>
        <w:rPr>
          <w:caps/>
        </w:rPr>
      </w:pPr>
    </w:p>
    <w:p w14:paraId="4ABC7988" w14:textId="77777777" w:rsidR="002F742C" w:rsidRDefault="002F742C" w:rsidP="002F742C">
      <w:pPr>
        <w:jc w:val="center"/>
        <w:rPr>
          <w:caps/>
        </w:rPr>
      </w:pPr>
      <w:r>
        <w:rPr>
          <w:caps/>
        </w:rPr>
        <w:t>2025-11-</w:t>
      </w:r>
    </w:p>
    <w:p w14:paraId="3B8F2CF3" w14:textId="77777777" w:rsidR="002F742C" w:rsidRPr="00633E9A" w:rsidRDefault="002F742C" w:rsidP="002F742C">
      <w:pPr>
        <w:jc w:val="center"/>
        <w:rPr>
          <w:caps/>
        </w:rPr>
      </w:pPr>
      <w:r>
        <w:t>Kretinga</w:t>
      </w:r>
    </w:p>
    <w:p w14:paraId="7EBC383F" w14:textId="77777777" w:rsidR="002F742C" w:rsidRPr="00D82C74" w:rsidRDefault="002F742C" w:rsidP="002F742C">
      <w:pPr>
        <w:jc w:val="both"/>
      </w:pPr>
    </w:p>
    <w:p w14:paraId="15C6BE27" w14:textId="1D0A6C9D" w:rsidR="002F742C" w:rsidRPr="007D09C7" w:rsidRDefault="002F742C" w:rsidP="002F742C">
      <w:pPr>
        <w:pBdr>
          <w:bar w:val="single" w:sz="4" w:color="auto"/>
        </w:pBdr>
        <w:ind w:firstLine="851"/>
        <w:jc w:val="both"/>
        <w:rPr>
          <w:b/>
        </w:rPr>
      </w:pPr>
      <w:r w:rsidRPr="007D09C7">
        <w:rPr>
          <w:b/>
        </w:rPr>
        <w:t>1.</w:t>
      </w:r>
      <w:r w:rsidRPr="007D09C7">
        <w:t xml:space="preserve"> </w:t>
      </w:r>
      <w:r w:rsidRPr="007D09C7">
        <w:rPr>
          <w:b/>
        </w:rPr>
        <w:t xml:space="preserve">Parengto </w:t>
      </w:r>
      <w:r>
        <w:rPr>
          <w:b/>
        </w:rPr>
        <w:t xml:space="preserve">sprendimo </w:t>
      </w:r>
      <w:r w:rsidRPr="007D09C7">
        <w:rPr>
          <w:b/>
        </w:rPr>
        <w:t>projekto tikslas ir uždaviniai.</w:t>
      </w:r>
    </w:p>
    <w:p w14:paraId="04799BFD" w14:textId="727B0937" w:rsidR="002F742C" w:rsidRPr="00140B28" w:rsidRDefault="002F742C" w:rsidP="002F742C">
      <w:pPr>
        <w:ind w:firstLine="851"/>
        <w:jc w:val="both"/>
        <w:rPr>
          <w:szCs w:val="24"/>
          <w:lang w:eastAsia="lt-LT"/>
        </w:rPr>
      </w:pPr>
      <w:r w:rsidRPr="007D09C7">
        <w:rPr>
          <w:szCs w:val="24"/>
          <w:lang w:eastAsia="lt-LT"/>
        </w:rPr>
        <w:t xml:space="preserve">Rengiamo projekto tikslas – </w:t>
      </w:r>
      <w:r>
        <w:rPr>
          <w:szCs w:val="24"/>
        </w:rPr>
        <w:t>patvirtinti Kretingos</w:t>
      </w:r>
      <w:r w:rsidRPr="00140B28">
        <w:rPr>
          <w:szCs w:val="24"/>
        </w:rPr>
        <w:t xml:space="preserve"> rajono savivaldybės teritorijoje esančio nekilnojamojo turto, kuris yra apleistas ar neprižiūrimas, objektų</w:t>
      </w:r>
      <w:r>
        <w:rPr>
          <w:szCs w:val="24"/>
        </w:rPr>
        <w:t xml:space="preserve">, kuriems </w:t>
      </w:r>
      <w:r w:rsidRPr="002F742C">
        <w:rPr>
          <w:szCs w:val="24"/>
        </w:rPr>
        <w:t>202</w:t>
      </w:r>
      <w:r>
        <w:rPr>
          <w:szCs w:val="24"/>
        </w:rPr>
        <w:t>5 metais bus taikomas Kretingos</w:t>
      </w:r>
      <w:r w:rsidRPr="00140B28">
        <w:rPr>
          <w:szCs w:val="24"/>
        </w:rPr>
        <w:t xml:space="preserve"> rajono savivaldybės tarybos nustatytas maksimalus nekilnojamojo turto mokesčio tarifas, sąrašą</w:t>
      </w:r>
      <w:r>
        <w:rPr>
          <w:szCs w:val="24"/>
        </w:rPr>
        <w:t xml:space="preserve">. </w:t>
      </w:r>
    </w:p>
    <w:p w14:paraId="4861E6C4" w14:textId="77777777" w:rsidR="002F742C" w:rsidRDefault="002F742C" w:rsidP="002F742C">
      <w:pPr>
        <w:ind w:firstLine="851"/>
        <w:contextualSpacing/>
        <w:jc w:val="both"/>
        <w:rPr>
          <w:rFonts w:eastAsia="Calibri"/>
          <w:b/>
          <w:szCs w:val="24"/>
        </w:rPr>
      </w:pPr>
      <w:r w:rsidRPr="007D09C7">
        <w:rPr>
          <w:b/>
        </w:rPr>
        <w:t xml:space="preserve">2. </w:t>
      </w:r>
      <w:r w:rsidRPr="00F96AFD">
        <w:rPr>
          <w:rFonts w:eastAsia="Calibri"/>
          <w:b/>
          <w:szCs w:val="24"/>
        </w:rPr>
        <w:t>Siūlomos teisinio reguliavimo nuostatos, šiuo metu esantis teisinis reglamentavimas, kokie šios srities teisės aktai tebegalioja ir kokius teisės aktus būtina pakeisti ar panaikinti, priėmus teikiamą tarybos sprendimo projektą.</w:t>
      </w:r>
    </w:p>
    <w:p w14:paraId="6EDECD55" w14:textId="7B735C6A" w:rsidR="002F742C" w:rsidRDefault="002F742C" w:rsidP="002F742C">
      <w:pPr>
        <w:ind w:firstLine="851"/>
        <w:jc w:val="both"/>
        <w:rPr>
          <w:szCs w:val="24"/>
        </w:rPr>
      </w:pPr>
      <w:r w:rsidRPr="007D09C7">
        <w:t xml:space="preserve">Kretingos rajono savivaldybės teritorijoje </w:t>
      </w:r>
      <w:r>
        <w:t xml:space="preserve">esantys </w:t>
      </w:r>
      <w:r w:rsidRPr="007D09C7">
        <w:t xml:space="preserve">apleisti ir neprižiūrimi statiniai yra apmokestinami nuo 2013 metų, vadovaujantis </w:t>
      </w:r>
      <w:r w:rsidRPr="007D09C7">
        <w:rPr>
          <w:szCs w:val="24"/>
        </w:rPr>
        <w:t>Kretingos rajono savivaldybės teritorijoje esančių patalpų ir statinių, kurie yra apleisti ir neprižiūrimi, naudojami ne pagal paskirtį ir kuriems taikomas maksimalus nekilnojamojo turto mokesčio tarifas, nustatymo tvarkos aprašu</w:t>
      </w:r>
      <w:r>
        <w:rPr>
          <w:szCs w:val="24"/>
        </w:rPr>
        <w:t xml:space="preserve"> </w:t>
      </w:r>
      <w:r w:rsidRPr="007D09C7">
        <w:rPr>
          <w:szCs w:val="24"/>
        </w:rPr>
        <w:t>(toliau – Aprašas)</w:t>
      </w:r>
      <w:r w:rsidRPr="007D09C7">
        <w:t xml:space="preserve">, patvirtintu </w:t>
      </w:r>
      <w:r w:rsidRPr="007D09C7">
        <w:rPr>
          <w:szCs w:val="24"/>
        </w:rPr>
        <w:t>Kretingos rajono savivaldybės tarybos 2012 m. rugsėjo 27 d. sprendimu Nr. T2-329 „Dėl Kretingos rajono savivaldybės teritorijoje esančių patalpų ir statinių, kurie yra apleisti ir neprižiūrimi, naudojami ne pagal paskirtį ir kuriems taikomas maksimalus nekilnojamojo turto mokesčio tarifas, nustatymo tvarkos aprašo patvirtinimo“</w:t>
      </w:r>
      <w:r>
        <w:rPr>
          <w:szCs w:val="24"/>
        </w:rPr>
        <w:t>.</w:t>
      </w:r>
    </w:p>
    <w:p w14:paraId="747837CD" w14:textId="77777777" w:rsidR="002F742C" w:rsidRDefault="002F742C" w:rsidP="002F742C">
      <w:pPr>
        <w:ind w:firstLine="851"/>
        <w:contextualSpacing/>
        <w:jc w:val="both"/>
        <w:rPr>
          <w:szCs w:val="24"/>
        </w:rPr>
      </w:pPr>
      <w:r w:rsidRPr="007D09C7">
        <w:rPr>
          <w:szCs w:val="24"/>
        </w:rPr>
        <w:t>Kretingos rajono savivaldybės teritorijoje esančių patalpų ir statinių, kurie yra apleisti ir neprižiūrimi, naudojami ne pagal paskirtį ir kuriems taikomas maksimalus nekilnojamojo turto mokesčio tarifas, sąrašas (toliau – Sąrašas) iki 2018 m. sausio 1 d. buvo tvirtinamas Kretingos rajono savivaldybės administracijos direktoriaus įsakymu.</w:t>
      </w:r>
    </w:p>
    <w:p w14:paraId="4301B27A" w14:textId="04AC5CF3" w:rsidR="002F742C" w:rsidRDefault="002F742C" w:rsidP="002F742C">
      <w:pPr>
        <w:ind w:firstLine="851"/>
        <w:contextualSpacing/>
        <w:jc w:val="both"/>
        <w:rPr>
          <w:szCs w:val="24"/>
        </w:rPr>
      </w:pPr>
      <w:r w:rsidRPr="007D09C7">
        <w:rPr>
          <w:szCs w:val="24"/>
        </w:rPr>
        <w:t xml:space="preserve">2018 </w:t>
      </w:r>
      <w:r>
        <w:rPr>
          <w:szCs w:val="24"/>
        </w:rPr>
        <w:t xml:space="preserve">m. </w:t>
      </w:r>
      <w:r w:rsidRPr="007D09C7">
        <w:rPr>
          <w:szCs w:val="24"/>
        </w:rPr>
        <w:t xml:space="preserve">sausio 1 d. įsigaliojo Lietuvos Respublikos nekilnojamojo turto mokesčio įstatymo 2 straipsnio 1 dalies pakeitimas, numatantis, jog </w:t>
      </w:r>
      <w:r w:rsidRPr="007D09C7">
        <w:rPr>
          <w:color w:val="000000"/>
        </w:rPr>
        <w:t xml:space="preserve">apleisto ar neprižiūrimo nekilnojamojo turto Sąrašą kiekvienoje savivaldybėje sudaro ir tvirtina </w:t>
      </w:r>
      <w:r>
        <w:rPr>
          <w:color w:val="000000"/>
        </w:rPr>
        <w:t>S</w:t>
      </w:r>
      <w:r w:rsidRPr="007D09C7">
        <w:rPr>
          <w:color w:val="000000"/>
        </w:rPr>
        <w:t>avivaldybės taryba.</w:t>
      </w:r>
      <w:r w:rsidRPr="007D09C7">
        <w:rPr>
          <w:szCs w:val="24"/>
        </w:rPr>
        <w:t xml:space="preserve"> Kretingos rajono savivaldybės tarybos 2018 m. birželio 28 d. sprendimu Nr. T2-196 atitinkamai buvo pakeistas Aprašas, kurio 5 punktas numato, kad Sąrašą tvirtina Savivaldybės taryba.</w:t>
      </w:r>
    </w:p>
    <w:p w14:paraId="3328C7AA" w14:textId="77777777" w:rsidR="002F742C" w:rsidRPr="00602738" w:rsidRDefault="002F742C" w:rsidP="002F742C">
      <w:pPr>
        <w:ind w:firstLine="851"/>
        <w:contextualSpacing/>
        <w:jc w:val="both"/>
        <w:rPr>
          <w:szCs w:val="24"/>
        </w:rPr>
      </w:pPr>
      <w:r w:rsidRPr="009A0B54">
        <w:rPr>
          <w:szCs w:val="24"/>
        </w:rPr>
        <w:t xml:space="preserve">Kretingos </w:t>
      </w:r>
      <w:r>
        <w:rPr>
          <w:szCs w:val="24"/>
        </w:rPr>
        <w:t>rajono savivaldybės tarybos 2021 m. birželio 30 d. sprendimo Nr. T2-213</w:t>
      </w:r>
      <w:r w:rsidRPr="009A0B54">
        <w:rPr>
          <w:szCs w:val="24"/>
        </w:rPr>
        <w:t xml:space="preserve"> „Dėl nekilnoj</w:t>
      </w:r>
      <w:r>
        <w:rPr>
          <w:szCs w:val="24"/>
        </w:rPr>
        <w:t>amojo turto mokesčio tarifų nustatymo“ 1.5 papunktis</w:t>
      </w:r>
      <w:r w:rsidRPr="007D09C7">
        <w:rPr>
          <w:szCs w:val="24"/>
        </w:rPr>
        <w:t xml:space="preserve"> numato, </w:t>
      </w:r>
      <w:r>
        <w:rPr>
          <w:szCs w:val="24"/>
        </w:rPr>
        <w:t xml:space="preserve">jog </w:t>
      </w:r>
      <w:r w:rsidRPr="00872510">
        <w:rPr>
          <w:rFonts w:eastAsia="Calibri"/>
        </w:rPr>
        <w:t xml:space="preserve">nekilnojamajam turtui (neatsižvelgiant į jo paskirtį), kuris yra apleistas ar neprižiūrimas, arba naudojamas ne pagal paskirtį </w:t>
      </w:r>
      <w:r>
        <w:rPr>
          <w:rFonts w:eastAsia="Calibri"/>
        </w:rPr>
        <w:t xml:space="preserve">nuo 2022 m. sausio 1 d., taikyti </w:t>
      </w:r>
      <w:r w:rsidRPr="00872510">
        <w:rPr>
          <w:rFonts w:eastAsia="Calibri"/>
        </w:rPr>
        <w:t>3 procentus nekilnojamojo turto mokestinės vertės.</w:t>
      </w:r>
    </w:p>
    <w:p w14:paraId="3E809A54" w14:textId="77777777" w:rsidR="002F742C" w:rsidRPr="007D09C7" w:rsidRDefault="002F742C" w:rsidP="002F742C">
      <w:pPr>
        <w:ind w:firstLine="851"/>
        <w:jc w:val="both"/>
      </w:pPr>
      <w:r w:rsidRPr="007D09C7">
        <w:t>Atsižvelgiant į anksčiau išdėstytas aplinkybes, teikiamas tvirtinti šis sprendimo projektas.</w:t>
      </w:r>
    </w:p>
    <w:p w14:paraId="66AD4CA0" w14:textId="3B7AEB23" w:rsidR="002F742C" w:rsidRPr="002F742C" w:rsidRDefault="002F742C" w:rsidP="002F742C">
      <w:pPr>
        <w:ind w:firstLine="851"/>
        <w:jc w:val="both"/>
        <w:rPr>
          <w:b/>
        </w:rPr>
      </w:pPr>
      <w:r w:rsidRPr="002F742C">
        <w:rPr>
          <w:rFonts w:eastAsia="Calibri"/>
          <w:b/>
          <w:szCs w:val="24"/>
        </w:rPr>
        <w:t>3. Kokių rezultatų laukiama.</w:t>
      </w:r>
    </w:p>
    <w:p w14:paraId="2161743D" w14:textId="77777777" w:rsidR="002F742C" w:rsidRDefault="002F742C" w:rsidP="002F742C">
      <w:pPr>
        <w:ind w:firstLine="851"/>
        <w:jc w:val="both"/>
        <w:rPr>
          <w:szCs w:val="24"/>
          <w:lang w:eastAsia="lt-LT"/>
        </w:rPr>
      </w:pPr>
      <w:r>
        <w:rPr>
          <w:szCs w:val="24"/>
          <w:lang w:eastAsia="lt-LT"/>
        </w:rPr>
        <w:t>Norima</w:t>
      </w:r>
      <w:r w:rsidRPr="007D09C7">
        <w:rPr>
          <w:szCs w:val="24"/>
          <w:lang w:eastAsia="lt-LT"/>
        </w:rPr>
        <w:t xml:space="preserve">, kad </w:t>
      </w:r>
      <w:r>
        <w:rPr>
          <w:szCs w:val="24"/>
          <w:lang w:eastAsia="lt-LT"/>
        </w:rPr>
        <w:t>Kretingos rajone apleistų</w:t>
      </w:r>
      <w:r w:rsidRPr="007D09C7">
        <w:rPr>
          <w:szCs w:val="24"/>
          <w:lang w:eastAsia="lt-LT"/>
        </w:rPr>
        <w:t xml:space="preserve"> statinių savininkai pagerintų statinių techninę būklę</w:t>
      </w:r>
      <w:r>
        <w:rPr>
          <w:szCs w:val="24"/>
          <w:lang w:eastAsia="lt-LT"/>
        </w:rPr>
        <w:t xml:space="preserve">, todėl </w:t>
      </w:r>
      <w:r w:rsidRPr="007D09C7">
        <w:rPr>
          <w:szCs w:val="24"/>
          <w:lang w:eastAsia="lt-LT"/>
        </w:rPr>
        <w:t>sumažėtų apleistų, neprižiūrimų statinių skaičius savivaldybėje.</w:t>
      </w:r>
      <w:r>
        <w:rPr>
          <w:szCs w:val="24"/>
          <w:lang w:eastAsia="lt-LT"/>
        </w:rPr>
        <w:t xml:space="preserve"> </w:t>
      </w:r>
    </w:p>
    <w:p w14:paraId="32B50108" w14:textId="77777777" w:rsidR="002F742C" w:rsidRPr="009D48B1" w:rsidRDefault="002F742C" w:rsidP="002F742C">
      <w:pPr>
        <w:ind w:firstLine="851"/>
        <w:jc w:val="both"/>
        <w:rPr>
          <w:b/>
        </w:rPr>
      </w:pPr>
      <w:r>
        <w:t>S</w:t>
      </w:r>
      <w:r w:rsidRPr="00DE6C73">
        <w:t xml:space="preserve">iekiama skatinti neprižiūrimų ir apleistų pastatų </w:t>
      </w:r>
      <w:r>
        <w:t xml:space="preserve">savininkus – </w:t>
      </w:r>
      <w:r w:rsidRPr="00DE6C73">
        <w:t xml:space="preserve">mokesčių mokėtojus atsakingai prižiūrėti savo turtą, jį naudoti, tvarkyti ir </w:t>
      </w:r>
      <w:r>
        <w:t>prižiūrėti pagal galiojančius Lietuvos Respublikos</w:t>
      </w:r>
      <w:r w:rsidRPr="00DE6C73">
        <w:t xml:space="preserve"> teisės aktus</w:t>
      </w:r>
      <w:r>
        <w:t>. G</w:t>
      </w:r>
      <w:r w:rsidRPr="00DE6C73">
        <w:t xml:space="preserve">autos papildomos pajamos </w:t>
      </w:r>
      <w:r>
        <w:t>už netinkamai prižiūrimą</w:t>
      </w:r>
      <w:r w:rsidRPr="00DE6C73">
        <w:t xml:space="preserve"> turt</w:t>
      </w:r>
      <w:r>
        <w:t>ą</w:t>
      </w:r>
      <w:r w:rsidRPr="00DE6C73">
        <w:t xml:space="preserve"> papildys Savivaldybės biudžetą.</w:t>
      </w:r>
    </w:p>
    <w:p w14:paraId="64F56493" w14:textId="5D4A6500" w:rsidR="002F742C" w:rsidRPr="002F742C" w:rsidRDefault="002F742C" w:rsidP="002F742C">
      <w:pPr>
        <w:ind w:firstLine="851"/>
        <w:jc w:val="both"/>
        <w:rPr>
          <w:b/>
        </w:rPr>
      </w:pPr>
      <w:r>
        <w:rPr>
          <w:b/>
        </w:rPr>
        <w:t xml:space="preserve">4. </w:t>
      </w:r>
      <w:r w:rsidRPr="002F742C">
        <w:rPr>
          <w:b/>
        </w:rPr>
        <w:t>Lėšų poreikis ir šaltiniai.</w:t>
      </w:r>
      <w:r w:rsidRPr="002F742C">
        <w:rPr>
          <w:bCs/>
          <w:szCs w:val="24"/>
        </w:rPr>
        <w:t xml:space="preserve"> </w:t>
      </w:r>
    </w:p>
    <w:p w14:paraId="35203EFC" w14:textId="77777777" w:rsidR="002F742C" w:rsidRPr="009D48B1" w:rsidRDefault="002F742C" w:rsidP="002F742C">
      <w:pPr>
        <w:ind w:firstLine="851"/>
        <w:rPr>
          <w:b/>
        </w:rPr>
      </w:pPr>
      <w:r w:rsidRPr="007D09C7">
        <w:t>Sprendimo projektui įgyvendinti biudžeto lėšos nebus reikalingos.</w:t>
      </w:r>
    </w:p>
    <w:p w14:paraId="4270E657" w14:textId="57782CCC" w:rsidR="002F742C" w:rsidRPr="009D48B1" w:rsidRDefault="002F742C" w:rsidP="002F742C">
      <w:pPr>
        <w:ind w:firstLine="851"/>
        <w:rPr>
          <w:b/>
        </w:rPr>
      </w:pPr>
      <w:r>
        <w:rPr>
          <w:b/>
        </w:rPr>
        <w:t xml:space="preserve">5. </w:t>
      </w:r>
      <w:r w:rsidRPr="002F742C">
        <w:rPr>
          <w:b/>
        </w:rPr>
        <w:t>Kiti sprendimui priimti reikalingi pagrindimai, skaičiavimai ar paaiškinimai.</w:t>
      </w:r>
      <w:r>
        <w:rPr>
          <w:b/>
        </w:rPr>
        <w:t xml:space="preserve"> –</w:t>
      </w:r>
    </w:p>
    <w:p w14:paraId="0041702D" w14:textId="77777777" w:rsidR="002F742C" w:rsidRPr="00F96AFD" w:rsidRDefault="002F742C" w:rsidP="002F742C">
      <w:pPr>
        <w:ind w:firstLine="851"/>
        <w:contextualSpacing/>
        <w:jc w:val="both"/>
        <w:rPr>
          <w:rFonts w:eastAsia="Calibri"/>
          <w:b/>
          <w:szCs w:val="24"/>
        </w:rPr>
      </w:pPr>
      <w:r>
        <w:rPr>
          <w:b/>
        </w:rPr>
        <w:t xml:space="preserve">6. </w:t>
      </w:r>
      <w:r w:rsidRPr="00F96AFD">
        <w:rPr>
          <w:rFonts w:eastAsia="Calibri"/>
          <w:b/>
          <w:szCs w:val="24"/>
        </w:rPr>
        <w:t>Teisės akto projekto antikorupcinio vertinimo išvada dėl sprendimo projekto teikimo antikorupciniam vertinimui.</w:t>
      </w:r>
    </w:p>
    <w:p w14:paraId="69791648" w14:textId="77777777" w:rsidR="002F742C" w:rsidRDefault="002F742C" w:rsidP="002F742C">
      <w:pPr>
        <w:ind w:firstLine="851"/>
        <w:jc w:val="both"/>
        <w:rPr>
          <w:szCs w:val="24"/>
        </w:rPr>
      </w:pPr>
      <w:r>
        <w:rPr>
          <w:szCs w:val="24"/>
        </w:rPr>
        <w:t>Teisės aktuose nenumatytas teisės akto projekto antikorupcinis vertinimas.</w:t>
      </w:r>
    </w:p>
    <w:p w14:paraId="651D5B34" w14:textId="29DCF6D7" w:rsidR="0058425F" w:rsidRPr="002F742C" w:rsidRDefault="002F742C" w:rsidP="002F742C">
      <w:pPr>
        <w:ind w:firstLine="851"/>
        <w:jc w:val="both"/>
        <w:rPr>
          <w:rFonts w:eastAsia="Calibri"/>
          <w:b/>
          <w:szCs w:val="24"/>
        </w:rPr>
      </w:pPr>
      <w:r w:rsidRPr="00306EFF">
        <w:rPr>
          <w:b/>
          <w:bCs/>
          <w:szCs w:val="24"/>
        </w:rPr>
        <w:t>7</w:t>
      </w:r>
      <w:r w:rsidRPr="003D4DF4">
        <w:rPr>
          <w:b/>
          <w:bCs/>
          <w:szCs w:val="24"/>
        </w:rPr>
        <w:t>.</w:t>
      </w:r>
      <w:r>
        <w:rPr>
          <w:rFonts w:eastAsia="Calibri"/>
          <w:b/>
          <w:szCs w:val="24"/>
        </w:rPr>
        <w:t xml:space="preserve"> </w:t>
      </w:r>
      <w:r w:rsidRPr="009D48B1">
        <w:rPr>
          <w:rFonts w:eastAsia="Calibri"/>
          <w:b/>
          <w:szCs w:val="24"/>
        </w:rPr>
        <w:t>Autorius ar autorių grupė.</w:t>
      </w:r>
      <w:r>
        <w:rPr>
          <w:rFonts w:eastAsia="Calibri"/>
          <w:b/>
          <w:szCs w:val="24"/>
        </w:rPr>
        <w:t xml:space="preserve"> </w:t>
      </w:r>
      <w:r w:rsidRPr="008B409F">
        <w:rPr>
          <w:rFonts w:eastAsia="Calibri"/>
          <w:szCs w:val="24"/>
        </w:rPr>
        <w:t xml:space="preserve">Statybos skyriaus vyr. specialistė Janina </w:t>
      </w:r>
      <w:proofErr w:type="spellStart"/>
      <w:r w:rsidRPr="008B409F">
        <w:rPr>
          <w:rFonts w:eastAsia="Calibri"/>
          <w:szCs w:val="24"/>
        </w:rPr>
        <w:t>Gedvilienė</w:t>
      </w:r>
      <w:proofErr w:type="spellEnd"/>
      <w:r>
        <w:rPr>
          <w:rFonts w:eastAsia="Calibri"/>
          <w:szCs w:val="24"/>
        </w:rPr>
        <w:t>.</w:t>
      </w:r>
    </w:p>
    <w:sectPr w:rsidR="0058425F" w:rsidRPr="002F742C" w:rsidSect="002F742C">
      <w:headerReference w:type="default" r:id="rId8"/>
      <w:pgSz w:w="11906" w:h="16838"/>
      <w:pgMar w:top="1134" w:right="567" w:bottom="596"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E6E41" w14:textId="77777777" w:rsidR="00B12AE1" w:rsidRDefault="00B12AE1">
      <w:r>
        <w:separator/>
      </w:r>
    </w:p>
  </w:endnote>
  <w:endnote w:type="continuationSeparator" w:id="0">
    <w:p w14:paraId="0A42B222" w14:textId="77777777" w:rsidR="00B12AE1" w:rsidRDefault="00B1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43205" w14:textId="77777777" w:rsidR="00B12AE1" w:rsidRDefault="00B12AE1">
      <w:r>
        <w:separator/>
      </w:r>
    </w:p>
  </w:footnote>
  <w:footnote w:type="continuationSeparator" w:id="0">
    <w:p w14:paraId="1ED169E1" w14:textId="77777777" w:rsidR="00B12AE1" w:rsidRDefault="00B12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064AA" w14:textId="77777777" w:rsidR="002F742C" w:rsidRPr="00115F78" w:rsidRDefault="002F742C" w:rsidP="00115F7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7B10"/>
    <w:multiLevelType w:val="hybridMultilevel"/>
    <w:tmpl w:val="EEE4613A"/>
    <w:lvl w:ilvl="0" w:tplc="E7F2F014">
      <w:start w:val="3"/>
      <w:numFmt w:val="decimal"/>
      <w:lvlText w:val="%1."/>
      <w:lvlJc w:val="left"/>
      <w:pPr>
        <w:ind w:left="1211" w:hanging="360"/>
      </w:pPr>
      <w:rPr>
        <w:rFonts w:eastAsia="Calibri"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2C"/>
    <w:rsid w:val="00063101"/>
    <w:rsid w:val="00126AAA"/>
    <w:rsid w:val="002F742C"/>
    <w:rsid w:val="004358CE"/>
    <w:rsid w:val="0058425F"/>
    <w:rsid w:val="006238CF"/>
    <w:rsid w:val="0079531F"/>
    <w:rsid w:val="00834298"/>
    <w:rsid w:val="00932584"/>
    <w:rsid w:val="00981051"/>
    <w:rsid w:val="00B12AE1"/>
    <w:rsid w:val="00B6158C"/>
    <w:rsid w:val="00E2580F"/>
    <w:rsid w:val="00E416C8"/>
    <w:rsid w:val="00FC4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742C"/>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2F7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7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74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74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74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742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742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742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742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742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2F742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2F742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2F742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2F742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2F742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2F742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2F742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2F742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2F742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742C"/>
    <w:rPr>
      <w:rFonts w:asciiTheme="majorHAnsi" w:eastAsiaTheme="majorEastAsia" w:hAnsiTheme="majorHAnsi" w:cstheme="majorBidi"/>
      <w:spacing w:val="-10"/>
      <w:kern w:val="28"/>
      <w:sz w:val="56"/>
      <w:szCs w:val="56"/>
      <w:lang w:val="lt-LT"/>
    </w:rPr>
  </w:style>
  <w:style w:type="paragraph" w:styleId="Antrinispavadinimas">
    <w:name w:val="Subtitle"/>
    <w:basedOn w:val="prastasis"/>
    <w:next w:val="prastasis"/>
    <w:link w:val="AntrinispavadinimasDiagrama"/>
    <w:uiPriority w:val="11"/>
    <w:qFormat/>
    <w:rsid w:val="002F742C"/>
    <w:pPr>
      <w:numPr>
        <w:ilvl w:val="1"/>
      </w:numPr>
      <w:spacing w:after="160"/>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2F742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2F742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F742C"/>
    <w:rPr>
      <w:i/>
      <w:iCs/>
      <w:color w:val="404040" w:themeColor="text1" w:themeTint="BF"/>
      <w:lang w:val="lt-LT"/>
    </w:rPr>
  </w:style>
  <w:style w:type="paragraph" w:styleId="Sraopastraipa">
    <w:name w:val="List Paragraph"/>
    <w:basedOn w:val="prastasis"/>
    <w:uiPriority w:val="34"/>
    <w:qFormat/>
    <w:rsid w:val="002F742C"/>
    <w:pPr>
      <w:ind w:left="720"/>
      <w:contextualSpacing/>
    </w:pPr>
  </w:style>
  <w:style w:type="character" w:styleId="Rykuspabraukimas">
    <w:name w:val="Intense Emphasis"/>
    <w:basedOn w:val="Numatytasispastraiposriftas"/>
    <w:uiPriority w:val="21"/>
    <w:qFormat/>
    <w:rsid w:val="002F742C"/>
    <w:rPr>
      <w:i/>
      <w:iCs/>
      <w:color w:val="0F4761" w:themeColor="accent1" w:themeShade="BF"/>
    </w:rPr>
  </w:style>
  <w:style w:type="paragraph" w:styleId="Iskirtacitata">
    <w:name w:val="Intense Quote"/>
    <w:basedOn w:val="prastasis"/>
    <w:next w:val="prastasis"/>
    <w:link w:val="IskirtacitataDiagrama"/>
    <w:uiPriority w:val="30"/>
    <w:qFormat/>
    <w:rsid w:val="002F7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742C"/>
    <w:rPr>
      <w:i/>
      <w:iCs/>
      <w:color w:val="0F4761" w:themeColor="accent1" w:themeShade="BF"/>
      <w:lang w:val="lt-LT"/>
    </w:rPr>
  </w:style>
  <w:style w:type="character" w:styleId="Rykinuoroda">
    <w:name w:val="Intense Reference"/>
    <w:basedOn w:val="Numatytasispastraiposriftas"/>
    <w:uiPriority w:val="32"/>
    <w:qFormat/>
    <w:rsid w:val="002F742C"/>
    <w:rPr>
      <w:b/>
      <w:bCs/>
      <w:smallCaps/>
      <w:color w:val="0F4761" w:themeColor="accent1" w:themeShade="BF"/>
      <w:spacing w:val="5"/>
    </w:rPr>
  </w:style>
  <w:style w:type="paragraph" w:styleId="Antrats">
    <w:name w:val="header"/>
    <w:basedOn w:val="prastasis"/>
    <w:link w:val="AntratsDiagrama"/>
    <w:uiPriority w:val="99"/>
    <w:unhideWhenUsed/>
    <w:rsid w:val="002F742C"/>
    <w:pPr>
      <w:tabs>
        <w:tab w:val="center" w:pos="4819"/>
        <w:tab w:val="right" w:pos="9638"/>
      </w:tabs>
    </w:pPr>
  </w:style>
  <w:style w:type="character" w:customStyle="1" w:styleId="AntratsDiagrama">
    <w:name w:val="Antraštės Diagrama"/>
    <w:basedOn w:val="Numatytasispastraiposriftas"/>
    <w:link w:val="Antrats"/>
    <w:uiPriority w:val="99"/>
    <w:rsid w:val="002F742C"/>
    <w:rPr>
      <w:rFonts w:ascii="Times New Roman" w:eastAsia="Times New Roman" w:hAnsi="Times New Roman" w:cs="Times New Roman"/>
      <w:kern w:val="0"/>
      <w:szCs w:val="20"/>
      <w:lang w:val="lt-L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F742C"/>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2F7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7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74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74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74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742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742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742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742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742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2F742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2F742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2F742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2F742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2F742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2F742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2F742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2F742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2F742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742C"/>
    <w:rPr>
      <w:rFonts w:asciiTheme="majorHAnsi" w:eastAsiaTheme="majorEastAsia" w:hAnsiTheme="majorHAnsi" w:cstheme="majorBidi"/>
      <w:spacing w:val="-10"/>
      <w:kern w:val="28"/>
      <w:sz w:val="56"/>
      <w:szCs w:val="56"/>
      <w:lang w:val="lt-LT"/>
    </w:rPr>
  </w:style>
  <w:style w:type="paragraph" w:styleId="Antrinispavadinimas">
    <w:name w:val="Subtitle"/>
    <w:basedOn w:val="prastasis"/>
    <w:next w:val="prastasis"/>
    <w:link w:val="AntrinispavadinimasDiagrama"/>
    <w:uiPriority w:val="11"/>
    <w:qFormat/>
    <w:rsid w:val="002F742C"/>
    <w:pPr>
      <w:numPr>
        <w:ilvl w:val="1"/>
      </w:numPr>
      <w:spacing w:after="160"/>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2F742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2F742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F742C"/>
    <w:rPr>
      <w:i/>
      <w:iCs/>
      <w:color w:val="404040" w:themeColor="text1" w:themeTint="BF"/>
      <w:lang w:val="lt-LT"/>
    </w:rPr>
  </w:style>
  <w:style w:type="paragraph" w:styleId="Sraopastraipa">
    <w:name w:val="List Paragraph"/>
    <w:basedOn w:val="prastasis"/>
    <w:uiPriority w:val="34"/>
    <w:qFormat/>
    <w:rsid w:val="002F742C"/>
    <w:pPr>
      <w:ind w:left="720"/>
      <w:contextualSpacing/>
    </w:pPr>
  </w:style>
  <w:style w:type="character" w:styleId="Rykuspabraukimas">
    <w:name w:val="Intense Emphasis"/>
    <w:basedOn w:val="Numatytasispastraiposriftas"/>
    <w:uiPriority w:val="21"/>
    <w:qFormat/>
    <w:rsid w:val="002F742C"/>
    <w:rPr>
      <w:i/>
      <w:iCs/>
      <w:color w:val="0F4761" w:themeColor="accent1" w:themeShade="BF"/>
    </w:rPr>
  </w:style>
  <w:style w:type="paragraph" w:styleId="Iskirtacitata">
    <w:name w:val="Intense Quote"/>
    <w:basedOn w:val="prastasis"/>
    <w:next w:val="prastasis"/>
    <w:link w:val="IskirtacitataDiagrama"/>
    <w:uiPriority w:val="30"/>
    <w:qFormat/>
    <w:rsid w:val="002F7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742C"/>
    <w:rPr>
      <w:i/>
      <w:iCs/>
      <w:color w:val="0F4761" w:themeColor="accent1" w:themeShade="BF"/>
      <w:lang w:val="lt-LT"/>
    </w:rPr>
  </w:style>
  <w:style w:type="character" w:styleId="Rykinuoroda">
    <w:name w:val="Intense Reference"/>
    <w:basedOn w:val="Numatytasispastraiposriftas"/>
    <w:uiPriority w:val="32"/>
    <w:qFormat/>
    <w:rsid w:val="002F742C"/>
    <w:rPr>
      <w:b/>
      <w:bCs/>
      <w:smallCaps/>
      <w:color w:val="0F4761" w:themeColor="accent1" w:themeShade="BF"/>
      <w:spacing w:val="5"/>
    </w:rPr>
  </w:style>
  <w:style w:type="paragraph" w:styleId="Antrats">
    <w:name w:val="header"/>
    <w:basedOn w:val="prastasis"/>
    <w:link w:val="AntratsDiagrama"/>
    <w:uiPriority w:val="99"/>
    <w:unhideWhenUsed/>
    <w:rsid w:val="002F742C"/>
    <w:pPr>
      <w:tabs>
        <w:tab w:val="center" w:pos="4819"/>
        <w:tab w:val="right" w:pos="9638"/>
      </w:tabs>
    </w:pPr>
  </w:style>
  <w:style w:type="character" w:customStyle="1" w:styleId="AntratsDiagrama">
    <w:name w:val="Antraštės Diagrama"/>
    <w:basedOn w:val="Numatytasispastraiposriftas"/>
    <w:link w:val="Antrats"/>
    <w:uiPriority w:val="99"/>
    <w:rsid w:val="002F742C"/>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3272</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Janina</cp:lastModifiedBy>
  <cp:revision>2</cp:revision>
  <dcterms:created xsi:type="dcterms:W3CDTF">2025-11-11T06:24:00Z</dcterms:created>
  <dcterms:modified xsi:type="dcterms:W3CDTF">2025-11-11T06:24:00Z</dcterms:modified>
</cp:coreProperties>
</file>