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5501" w14:textId="77777777" w:rsidR="00A25947" w:rsidRPr="009A390A" w:rsidRDefault="00A25947" w:rsidP="00A25947">
      <w:pPr>
        <w:suppressAutoHyphens/>
        <w:jc w:val="center"/>
        <w:rPr>
          <w:b/>
          <w:lang w:eastAsia="ar-SA"/>
        </w:rPr>
      </w:pPr>
      <w:r w:rsidRPr="009A390A">
        <w:rPr>
          <w:b/>
          <w:lang w:eastAsia="ar-SA"/>
        </w:rPr>
        <w:t xml:space="preserve">AIŠKINAMASIS RAŠTAS </w:t>
      </w:r>
    </w:p>
    <w:p w14:paraId="3E74B2F9" w14:textId="6C405236" w:rsidR="007843D6" w:rsidRPr="009A390A" w:rsidRDefault="00A25947" w:rsidP="005823EB">
      <w:pPr>
        <w:jc w:val="center"/>
        <w:rPr>
          <w:b/>
        </w:rPr>
      </w:pPr>
      <w:r w:rsidRPr="009A390A">
        <w:rPr>
          <w:b/>
          <w:lang w:eastAsia="ar-SA"/>
        </w:rPr>
        <w:t xml:space="preserve">PRIE </w:t>
      </w:r>
      <w:r w:rsidRPr="009A390A">
        <w:rPr>
          <w:b/>
        </w:rPr>
        <w:t>KRETINGOS RAJONO SAVIVALDYBĖS TARYBOS</w:t>
      </w:r>
      <w:r w:rsidRPr="009A390A">
        <w:rPr>
          <w:b/>
          <w:lang w:eastAsia="ar-SA"/>
        </w:rPr>
        <w:t xml:space="preserve"> SPRENDIMO PROJEKTO</w:t>
      </w:r>
      <w:r w:rsidRPr="009A390A">
        <w:rPr>
          <w:lang w:eastAsia="ar-SA"/>
        </w:rPr>
        <w:t xml:space="preserve"> </w:t>
      </w:r>
      <w:r w:rsidRPr="009A390A">
        <w:rPr>
          <w:b/>
          <w:bCs/>
          <w:lang w:eastAsia="ar-SA"/>
        </w:rPr>
        <w:t>„</w:t>
      </w:r>
      <w:r w:rsidR="005823EB" w:rsidRPr="009A390A">
        <w:rPr>
          <w:rFonts w:eastAsia="Calibri"/>
          <w:b/>
          <w:bCs/>
        </w:rPr>
        <w:t>DĖL</w:t>
      </w:r>
      <w:r w:rsidR="005823EB" w:rsidRPr="009A390A">
        <w:rPr>
          <w:rFonts w:eastAsia="Calibri"/>
          <w:b/>
          <w:caps/>
        </w:rPr>
        <w:t xml:space="preserve"> </w:t>
      </w:r>
      <w:r w:rsidR="005823EB" w:rsidRPr="009A390A">
        <w:rPr>
          <w:b/>
          <w:bCs/>
          <w:color w:val="000000"/>
          <w:spacing w:val="-9"/>
        </w:rPr>
        <w:t>NEKILNOJAMOJO TURTO MOKESČIO TARIFŲ NUSTATYMO</w:t>
      </w:r>
      <w:r w:rsidR="00852E17" w:rsidRPr="009A390A">
        <w:rPr>
          <w:b/>
        </w:rPr>
        <w:t>“</w:t>
      </w:r>
    </w:p>
    <w:p w14:paraId="1579F6EF" w14:textId="1E02D725" w:rsidR="00A25947" w:rsidRPr="009C4857" w:rsidRDefault="00A25947" w:rsidP="009C4857">
      <w:pPr>
        <w:rPr>
          <w:b/>
        </w:rPr>
      </w:pPr>
    </w:p>
    <w:p w14:paraId="2359B6FF" w14:textId="322F5B19" w:rsidR="00A25947" w:rsidRPr="009A390A" w:rsidRDefault="00A25947" w:rsidP="00A25947">
      <w:pPr>
        <w:suppressAutoHyphens/>
        <w:jc w:val="center"/>
        <w:rPr>
          <w:lang w:eastAsia="ar-SA"/>
        </w:rPr>
      </w:pPr>
      <w:r w:rsidRPr="009A390A">
        <w:rPr>
          <w:lang w:eastAsia="ar-SA"/>
        </w:rPr>
        <w:t>202</w:t>
      </w:r>
      <w:r w:rsidR="009D5F60" w:rsidRPr="009A390A">
        <w:rPr>
          <w:lang w:eastAsia="ar-SA"/>
        </w:rPr>
        <w:t>5</w:t>
      </w:r>
      <w:r w:rsidRPr="009A390A">
        <w:rPr>
          <w:lang w:eastAsia="ar-SA"/>
        </w:rPr>
        <w:t xml:space="preserve"> m. </w:t>
      </w:r>
      <w:r w:rsidR="00356BAC" w:rsidRPr="009A390A">
        <w:rPr>
          <w:lang w:eastAsia="ar-SA"/>
        </w:rPr>
        <w:t xml:space="preserve">spalio </w:t>
      </w:r>
      <w:r w:rsidR="00AA320F" w:rsidRPr="009A390A">
        <w:rPr>
          <w:lang w:eastAsia="ar-SA"/>
        </w:rPr>
        <w:t>9</w:t>
      </w:r>
      <w:r w:rsidRPr="009A390A">
        <w:rPr>
          <w:lang w:eastAsia="ar-SA"/>
        </w:rPr>
        <w:t xml:space="preserve"> d.</w:t>
      </w:r>
    </w:p>
    <w:p w14:paraId="43CE1C6C" w14:textId="77777777" w:rsidR="00A25947" w:rsidRPr="009A390A" w:rsidRDefault="00A25947" w:rsidP="00A25947">
      <w:pPr>
        <w:keepNext/>
        <w:tabs>
          <w:tab w:val="num" w:pos="0"/>
        </w:tabs>
        <w:suppressAutoHyphens/>
        <w:jc w:val="center"/>
        <w:outlineLvl w:val="0"/>
        <w:rPr>
          <w:bCs/>
          <w:szCs w:val="20"/>
          <w:lang w:eastAsia="ar-SA"/>
        </w:rPr>
      </w:pPr>
      <w:r w:rsidRPr="009A390A">
        <w:rPr>
          <w:bCs/>
          <w:szCs w:val="20"/>
          <w:lang w:eastAsia="ar-SA"/>
        </w:rPr>
        <w:t>Kretinga</w:t>
      </w:r>
    </w:p>
    <w:p w14:paraId="55252629" w14:textId="77777777" w:rsidR="00A25947" w:rsidRPr="009C4857" w:rsidRDefault="00A25947" w:rsidP="00A25947">
      <w:pPr>
        <w:suppressAutoHyphens/>
        <w:jc w:val="both"/>
        <w:rPr>
          <w:b/>
          <w:lang w:eastAsia="ar-SA"/>
        </w:rPr>
      </w:pPr>
    </w:p>
    <w:p w14:paraId="0D35E550" w14:textId="77777777" w:rsidR="00A25947" w:rsidRPr="009A390A" w:rsidRDefault="00A25947" w:rsidP="00BC7787">
      <w:pPr>
        <w:suppressAutoHyphens/>
        <w:ind w:right="-1" w:firstLine="993"/>
        <w:jc w:val="both"/>
        <w:rPr>
          <w:b/>
          <w:lang w:eastAsia="ar-SA"/>
        </w:rPr>
      </w:pPr>
      <w:r w:rsidRPr="009A390A">
        <w:rPr>
          <w:b/>
          <w:lang w:eastAsia="ar-SA"/>
        </w:rPr>
        <w:t xml:space="preserve">1. Parengto sprendimo projekto tikslai ir uždaviniai. </w:t>
      </w:r>
    </w:p>
    <w:p w14:paraId="0AED2BEF" w14:textId="771F692F" w:rsidR="005823EB" w:rsidRPr="009A390A" w:rsidRDefault="00A25947" w:rsidP="005823EB">
      <w:pPr>
        <w:pStyle w:val="Betarp"/>
        <w:ind w:firstLine="993"/>
        <w:jc w:val="both"/>
      </w:pPr>
      <w:r w:rsidRPr="009A390A">
        <w:rPr>
          <w:szCs w:val="20"/>
          <w:lang w:eastAsia="ar-SA"/>
        </w:rPr>
        <w:t>Parengto sprendimo projekto tikslas</w:t>
      </w:r>
      <w:r w:rsidR="00E071BA" w:rsidRPr="009A390A">
        <w:rPr>
          <w:szCs w:val="20"/>
          <w:lang w:eastAsia="ar-SA"/>
        </w:rPr>
        <w:t xml:space="preserve"> – </w:t>
      </w:r>
      <w:r w:rsidR="005823EB" w:rsidRPr="009A390A">
        <w:t xml:space="preserve">nustatyti nekilnojamojo turto mokesčio tarifus </w:t>
      </w:r>
      <w:r w:rsidR="005823EB" w:rsidRPr="009C4857">
        <w:t>(procentais nuo nekilnojamojo turto mokestinės vertės), kurie galiotų nuo 2026 m. sausio 1 d.</w:t>
      </w:r>
      <w:r w:rsidR="005823EB" w:rsidRPr="009A390A">
        <w:t>:</w:t>
      </w:r>
    </w:p>
    <w:p w14:paraId="47BB2818" w14:textId="79135244" w:rsidR="005823EB" w:rsidRPr="009A390A" w:rsidRDefault="005823EB" w:rsidP="005823EB">
      <w:pPr>
        <w:pStyle w:val="Betarp"/>
        <w:ind w:firstLine="993"/>
        <w:jc w:val="both"/>
      </w:pPr>
      <w:r w:rsidRPr="009A390A">
        <w:t>1. 450 000 eurų pagrindinio gyvenamojo būsto mokestinės vertės neapmokestinamąjį dydį, atsižvelgiant į nekilnojamojo turto mokestinę vertę;</w:t>
      </w:r>
    </w:p>
    <w:p w14:paraId="71FE0A5D" w14:textId="6C1720E5" w:rsidR="005823EB" w:rsidRPr="009A390A" w:rsidRDefault="005823EB" w:rsidP="005823EB">
      <w:pPr>
        <w:pStyle w:val="Betarp"/>
        <w:ind w:firstLine="993"/>
        <w:jc w:val="both"/>
      </w:pPr>
      <w:r w:rsidRPr="009A390A">
        <w:t>2. nuo pagrindinio gyvenamojo būsto mokestinės vertės, viršijančios neapmokestinamąjį dydį</w:t>
      </w:r>
      <w:r w:rsidR="00B53669" w:rsidRPr="009A390A">
        <w:t>,</w:t>
      </w:r>
      <w:r w:rsidRPr="009A390A">
        <w:t xml:space="preserve"> – 0,7 proc.;</w:t>
      </w:r>
    </w:p>
    <w:p w14:paraId="39E09656" w14:textId="11837433" w:rsidR="005823EB" w:rsidRPr="009A390A" w:rsidRDefault="005823EB" w:rsidP="005823EB">
      <w:pPr>
        <w:pStyle w:val="Betarp"/>
        <w:ind w:firstLine="993"/>
        <w:jc w:val="both"/>
      </w:pPr>
      <w:r w:rsidRPr="009A390A">
        <w:t>3. komercinio naudojimo nekilnojamajam turtui (administracinės, maitinimo, paslaugų, viešbučių, poilsio, kultūros, švietimo, mokslo ir sporto paskirties statiniai (patalpos), gyvenamosios, sodų ir garažų (išskyrus pramoninius) paskirties) – 0,</w:t>
      </w:r>
      <w:r w:rsidR="002E30E8">
        <w:t>5</w:t>
      </w:r>
      <w:r w:rsidRPr="009A390A">
        <w:t xml:space="preserve"> proc.;</w:t>
      </w:r>
    </w:p>
    <w:p w14:paraId="77F42127" w14:textId="3A672BC9" w:rsidR="005823EB" w:rsidRPr="009A390A" w:rsidRDefault="005823EB" w:rsidP="005823EB">
      <w:pPr>
        <w:pStyle w:val="Betarp"/>
        <w:ind w:firstLine="993"/>
        <w:jc w:val="both"/>
      </w:pPr>
      <w:r w:rsidRPr="009A390A">
        <w:t>4. inžineriniams statiniams (vėjo ir saulės elektrinėms) – 3 proc.;</w:t>
      </w:r>
    </w:p>
    <w:p w14:paraId="6BA8D30C" w14:textId="5081A486" w:rsidR="005823EB" w:rsidRPr="009A390A" w:rsidRDefault="005823EB" w:rsidP="005823EB">
      <w:pPr>
        <w:pStyle w:val="Betarp"/>
        <w:ind w:firstLine="993"/>
        <w:jc w:val="both"/>
      </w:pPr>
      <w:r w:rsidRPr="009A390A">
        <w:t xml:space="preserve">5. kitam 1.2–1.4 punktuose nenurodytam nekilnojamajam turtui – </w:t>
      </w:r>
      <w:r w:rsidR="002E30E8">
        <w:t>0,8</w:t>
      </w:r>
      <w:r w:rsidRPr="009A390A">
        <w:t xml:space="preserve"> proc.;</w:t>
      </w:r>
    </w:p>
    <w:p w14:paraId="46B55331" w14:textId="62914D1F" w:rsidR="005823EB" w:rsidRPr="009A390A" w:rsidRDefault="005823EB" w:rsidP="005823EB">
      <w:pPr>
        <w:pStyle w:val="Betarp"/>
        <w:ind w:firstLine="993"/>
        <w:jc w:val="both"/>
      </w:pPr>
      <w:r w:rsidRPr="009A390A">
        <w:t>6. nekilnojamajam turtui (neatsižvelgiant į jo paskirtį), kuris yra apleistas ar neprižiūrimas</w:t>
      </w:r>
      <w:r w:rsidR="007A745C">
        <w:t xml:space="preserve"> </w:t>
      </w:r>
      <w:r w:rsidRPr="009A390A">
        <w:t>– 5 proc.</w:t>
      </w:r>
    </w:p>
    <w:p w14:paraId="40A215FD" w14:textId="1DD60BC4" w:rsidR="00E071BA" w:rsidRPr="009A390A" w:rsidRDefault="00E071BA" w:rsidP="00E071BA">
      <w:pPr>
        <w:ind w:firstLine="993"/>
        <w:jc w:val="both"/>
      </w:pPr>
      <w:r w:rsidRPr="009A390A">
        <w:rPr>
          <w:spacing w:val="-5"/>
        </w:rPr>
        <w:t xml:space="preserve">Taip pat pripažinti netekusiu galios </w:t>
      </w:r>
      <w:r w:rsidR="005823EB" w:rsidRPr="009A390A">
        <w:t>Kretingos rajono savivaldybės tarybos 2021 m. birželio 30 d. sprendimą Nr. T2-213 „Dėl nekilnojamojo turto mokesčio tarifų nustatymo“.</w:t>
      </w:r>
    </w:p>
    <w:p w14:paraId="23B4C49F" w14:textId="77777777" w:rsidR="00A25947" w:rsidRPr="009A390A" w:rsidRDefault="00A25947" w:rsidP="00BC7787">
      <w:pPr>
        <w:suppressAutoHyphens/>
        <w:ind w:right="-1" w:firstLine="993"/>
        <w:jc w:val="both"/>
        <w:rPr>
          <w:lang w:eastAsia="ar-SA"/>
        </w:rPr>
      </w:pPr>
      <w:r w:rsidRPr="009A390A">
        <w:rPr>
          <w:b/>
        </w:rPr>
        <w:t>2. Siūlomos teisinio reguliavimo nuostatos, šiuo metu esantis teisinis reglamentavimas, kokie šios srities teisės aktai tebegalioja ir kokius teisės aktus būtina pakeisti ar panaikinti, priėmus teikiamą tarybos sprendimo projektą.</w:t>
      </w:r>
      <w:r w:rsidRPr="009A390A">
        <w:rPr>
          <w:lang w:eastAsia="ar-SA"/>
        </w:rPr>
        <w:t xml:space="preserve"> </w:t>
      </w:r>
    </w:p>
    <w:p w14:paraId="1E399DB8" w14:textId="47435D4C" w:rsidR="00AA320F" w:rsidRPr="009A390A" w:rsidRDefault="00827E05" w:rsidP="00AA320F">
      <w:pPr>
        <w:ind w:firstLine="993"/>
        <w:jc w:val="both"/>
      </w:pPr>
      <w:r w:rsidRPr="009A390A">
        <w:t xml:space="preserve">Pagal Lietuvos Respublikos nekilnojamojo turto mokesčio įstatymą (toliau – Įstatymas), </w:t>
      </w:r>
      <w:r w:rsidR="00AA320F" w:rsidRPr="009A390A">
        <w:t>Savivaldybių tarybos iki 2025 m. gruodžio 1 d. nustato pagrindinio gyvenamojo būsto mokestinės vertės neapmokestinamąjį dydį (dydžius) ir pagrindiniam gyvenamajam būstui taikomą mokesčio tarifą (tarifus). Jeigu savivaldybės taryba iki šio termino nenustato nurodyto dydžio ir mokesčio tarifo (tarifų), 2026 metais jos teritorijoje pagrindiniam gyvenamajam būstui galioja 0,1 procento mokesčio tarifas pagrindinio gyvenamojo būsto mokestinės vertės daliai, viršijančiai 450 000 eurų. Jeigu savivaldybės taryba iki šio termino nenustato mokesčio tarifo (tarifų), 2026 metais jos teritorijoje galioja 0,1 procento mokesčio tarifas neapmokestinamąjį dydį viršijančiai pagrindinio gyvenamojo būsto mokestinei vertei. Jeigu savivaldybės taryba iki šio termino nenustato pagrindinio gyvenamojo būsto mokestinės vertės neapmokestinamojo dydžio, 2026 metais savivaldybės tarybos nustatytas mokesčio tarifas (tarifai) jos teritorijoje taikomas pagrindinio gyvenamojo būsto mokestinės vertės daliai, viršijančiai 450 000 eurų.</w:t>
      </w:r>
    </w:p>
    <w:p w14:paraId="248F92F6" w14:textId="5A3B33C4" w:rsidR="00827E05" w:rsidRPr="009A390A" w:rsidRDefault="00827E05" w:rsidP="00827E05">
      <w:pPr>
        <w:ind w:firstLine="993"/>
        <w:jc w:val="both"/>
      </w:pPr>
      <w:r w:rsidRPr="009A390A">
        <w:t>Įstatymo 6 str. 4 ir 5 d., savivaldybių tarybos nustato pagrindinio gyvenamojo būsto mokestinės vertės neapmokestinamąjį dydį, ne mažesnį negu 450 000 eurų, atsižvelgiant į šiuos kriterijus: nekilnojamojo turto mokestinę vertę ir fizinių asmenų ekonominę, socialinę padėtį. Savivaldybės taryba pagrindinio gyvenamojo būsto mokestinės vertės daliai, viršijančiai neapmokestinamąjį dydį, nustato mokesčio tarifą nuo 0,1 iki 1 proc. pagrindinio gyvenamojo būsto mokestinės vertės.</w:t>
      </w:r>
    </w:p>
    <w:p w14:paraId="3305B5D1" w14:textId="11B52DD7" w:rsidR="00827E05" w:rsidRPr="009A390A" w:rsidRDefault="00827E05" w:rsidP="00827E05">
      <w:pPr>
        <w:ind w:firstLine="993"/>
        <w:jc w:val="both"/>
      </w:pPr>
      <w:r w:rsidRPr="009A390A">
        <w:t>Įstatymo 6 str. 6 d.</w:t>
      </w:r>
      <w:r w:rsidR="004E4AF5" w:rsidRPr="009A390A">
        <w:t xml:space="preserve"> numatyta, kad</w:t>
      </w:r>
      <w:r w:rsidRPr="009A390A">
        <w:t xml:space="preserve"> fiziniams asmenims nuosavybės teise priklausančių ar jų įsigyjamų, išskyrus pagrindinį gyvenamąjį būstą, vienbučių, dvibučių, daugiabučių, įvairių socialinių grupių, gyvenamųjų (butų), mėgėjų sodų, garažų, gyvūnams auginti, žemės ūkio produkcijai tvarkyti, augalams auginti, pagalbinio ūkio, mokslo, religinių, asmeninio poilsio, viešojo poilsio paskirties pastatų (patalpų) ir inžinerinių statinių (įskaitant žuvininkystės statinius) bendros mokestinės vertės daliai:</w:t>
      </w:r>
    </w:p>
    <w:p w14:paraId="7D1CF394" w14:textId="77777777" w:rsidR="00827E05" w:rsidRPr="009A390A" w:rsidRDefault="00827E05" w:rsidP="00827E05">
      <w:pPr>
        <w:ind w:firstLine="993"/>
        <w:jc w:val="both"/>
      </w:pPr>
      <w:r w:rsidRPr="009A390A">
        <w:t>1) neviršijančiai 50 000 eurų, bus taikomas 0 proc. mokesčio tarifas;</w:t>
      </w:r>
    </w:p>
    <w:p w14:paraId="5AB9811B" w14:textId="77777777" w:rsidR="00827E05" w:rsidRPr="009A390A" w:rsidRDefault="00827E05" w:rsidP="00827E05">
      <w:pPr>
        <w:ind w:firstLine="993"/>
        <w:jc w:val="both"/>
      </w:pPr>
      <w:r w:rsidRPr="009A390A">
        <w:lastRenderedPageBreak/>
        <w:t>2) viršijančiai 50 000 eurų, tačiau neviršijančiai 200 000 eurų, bus taikomas 0,2 proc. mokesčio tarifas;</w:t>
      </w:r>
    </w:p>
    <w:p w14:paraId="199ACAE4" w14:textId="77777777" w:rsidR="00827E05" w:rsidRPr="009A390A" w:rsidRDefault="00827E05" w:rsidP="00827E05">
      <w:pPr>
        <w:ind w:firstLine="993"/>
        <w:jc w:val="both"/>
      </w:pPr>
      <w:r w:rsidRPr="009A390A">
        <w:t>3) viršijančiai 200 000 eurų, tačiau neviršijančiai 400 000 eurų, bus taikomas 0,4 proc. mokesčio tarifas;</w:t>
      </w:r>
    </w:p>
    <w:p w14:paraId="62665DC0" w14:textId="77777777" w:rsidR="00827E05" w:rsidRPr="009A390A" w:rsidRDefault="00827E05" w:rsidP="00827E05">
      <w:pPr>
        <w:ind w:firstLine="993"/>
        <w:jc w:val="both"/>
      </w:pPr>
      <w:r w:rsidRPr="009A390A">
        <w:t>4) viršijančiai 400 000 eurų, tačiau neviršijančiai 600 000 eurų, bus taikomas 0,6 proc. mokesčio tarifas;</w:t>
      </w:r>
    </w:p>
    <w:p w14:paraId="0C276F30" w14:textId="77777777" w:rsidR="00827E05" w:rsidRPr="009A390A" w:rsidRDefault="00827E05" w:rsidP="00827E05">
      <w:pPr>
        <w:ind w:firstLine="993"/>
        <w:jc w:val="both"/>
      </w:pPr>
      <w:r w:rsidRPr="009A390A">
        <w:t>5) viršijančiai 600 000 eurų, tačiau neviršijančiai 1000 000 eurų, bus taikomas 0,8 proc. mokesčio tarifas;</w:t>
      </w:r>
    </w:p>
    <w:p w14:paraId="3880E555" w14:textId="5FE12F25" w:rsidR="00AA320F" w:rsidRPr="009A390A" w:rsidRDefault="00827E05" w:rsidP="00827E05">
      <w:pPr>
        <w:suppressAutoHyphens/>
        <w:ind w:right="-1" w:firstLine="993"/>
        <w:jc w:val="both"/>
      </w:pPr>
      <w:r w:rsidRPr="009A390A">
        <w:t>6) viršijančiai 1000 000 eurų, bus taikomas 1 proc. mokesčio tarifas.</w:t>
      </w:r>
    </w:p>
    <w:p w14:paraId="58E04D73" w14:textId="17C85120" w:rsidR="00852E17" w:rsidRPr="009A390A" w:rsidRDefault="00852E17" w:rsidP="00827E05">
      <w:pPr>
        <w:suppressAutoHyphens/>
        <w:ind w:right="-1" w:firstLine="993"/>
        <w:jc w:val="both"/>
      </w:pPr>
      <w:r w:rsidRPr="009A390A">
        <w:t>Įstatymo 6 str. 7 d., savivaldybės taryba apleistam ar neprižiūrimam nekilnojamajam turtui nustato konkretų mokesčio tarifą (tarifus) nuo 1 iki 5 procentų šio turto mokestinės vertės.</w:t>
      </w:r>
      <w:r w:rsidR="007A745C">
        <w:t xml:space="preserve"> Kasmet savivaldybės taryba tvirtina apleistų ar neprižiūrimų nekilnojamojo turto objektų sąrašą, šis sąrašas teikiamas VMI. Į apleistų ar neprižiūrimų nekilnojamojo turto objektų sąrašą 2023 m. įtraukta 17, 2024 m. - 15 objektų ir jiems taikytas maksimalus</w:t>
      </w:r>
      <w:r w:rsidR="008B579A">
        <w:t xml:space="preserve"> (3 proc.)</w:t>
      </w:r>
      <w:r w:rsidR="007A745C">
        <w:t xml:space="preserve"> nekilnojamojo turto mokesčio tarifas.</w:t>
      </w:r>
    </w:p>
    <w:p w14:paraId="7FAE7890" w14:textId="05F67F69" w:rsidR="004E4AF5" w:rsidRPr="009A390A" w:rsidRDefault="00827E05" w:rsidP="004E4AF5">
      <w:pPr>
        <w:ind w:right="-1" w:firstLine="993"/>
        <w:jc w:val="both"/>
        <w:rPr>
          <w:color w:val="000300"/>
        </w:rPr>
      </w:pPr>
      <w:r w:rsidRPr="009A390A">
        <w:rPr>
          <w:color w:val="000300"/>
        </w:rPr>
        <w:t>Mokestis pagal Įstatymo 6 str. 6 ir 8 d. įskaitomas į valstybės biudžetą, o pagal š</w:t>
      </w:r>
      <w:r w:rsidR="004E4AF5" w:rsidRPr="009A390A">
        <w:rPr>
          <w:color w:val="000300"/>
        </w:rPr>
        <w:t>iuo</w:t>
      </w:r>
      <w:r w:rsidRPr="009A390A">
        <w:rPr>
          <w:color w:val="000300"/>
        </w:rPr>
        <w:t xml:space="preserve"> sprendim</w:t>
      </w:r>
      <w:r w:rsidR="004E4AF5" w:rsidRPr="009A390A">
        <w:rPr>
          <w:color w:val="000300"/>
        </w:rPr>
        <w:t>u</w:t>
      </w:r>
      <w:r w:rsidRPr="009A390A">
        <w:rPr>
          <w:color w:val="000300"/>
        </w:rPr>
        <w:t xml:space="preserve"> nustatomus nekilnojamojo turto mokesčio tarifus</w:t>
      </w:r>
      <w:r w:rsidR="004E4AF5" w:rsidRPr="009A390A">
        <w:rPr>
          <w:color w:val="000300"/>
        </w:rPr>
        <w:t xml:space="preserve"> </w:t>
      </w:r>
      <w:r w:rsidR="009A390A" w:rsidRPr="00145ADE">
        <w:rPr>
          <w:color w:val="000300"/>
        </w:rPr>
        <w:t>–</w:t>
      </w:r>
      <w:r w:rsidR="004E4AF5" w:rsidRPr="009A390A">
        <w:rPr>
          <w:color w:val="000300"/>
        </w:rPr>
        <w:t xml:space="preserve"> </w:t>
      </w:r>
      <w:r w:rsidRPr="009A390A">
        <w:rPr>
          <w:color w:val="000300"/>
        </w:rPr>
        <w:t xml:space="preserve">įskaitomas į </w:t>
      </w:r>
      <w:r w:rsidR="00852E17" w:rsidRPr="009A390A">
        <w:rPr>
          <w:color w:val="000300"/>
        </w:rPr>
        <w:t xml:space="preserve">Kretingos rajono </w:t>
      </w:r>
      <w:r w:rsidRPr="009A390A">
        <w:rPr>
          <w:color w:val="000300"/>
        </w:rPr>
        <w:t xml:space="preserve">savivaldybės, kurios teritorijoje </w:t>
      </w:r>
      <w:r w:rsidR="00852E17" w:rsidRPr="009A390A">
        <w:rPr>
          <w:color w:val="000300"/>
        </w:rPr>
        <w:t xml:space="preserve">ir </w:t>
      </w:r>
      <w:r w:rsidRPr="009A390A">
        <w:rPr>
          <w:color w:val="000300"/>
        </w:rPr>
        <w:t>yra nekilnojamasis turtas, biudžetą.</w:t>
      </w:r>
      <w:r w:rsidR="00F36C92" w:rsidRPr="009A390A">
        <w:rPr>
          <w:color w:val="000300"/>
        </w:rPr>
        <w:t xml:space="preserve"> </w:t>
      </w:r>
    </w:p>
    <w:p w14:paraId="6A0AF666" w14:textId="2C3198AC" w:rsidR="00827E05" w:rsidRPr="009A390A" w:rsidRDefault="004E4AF5" w:rsidP="004E4AF5">
      <w:pPr>
        <w:ind w:right="-1" w:firstLine="993"/>
        <w:jc w:val="both"/>
        <w:rPr>
          <w:lang w:eastAsia="ar-SA"/>
        </w:rPr>
      </w:pPr>
      <w:r w:rsidRPr="009A390A">
        <w:t xml:space="preserve">Atitinkamo mokestinio laikotarpio mokestį už fiziniams asmenims nuosavybės teise priklausantį arba jų įsigyjamą nekilnojamąjį turtą apskaičiuoja, mokesčio deklaracijos formą užpildo ir mokesčio mokėtojams pateikia mokesčių administratorius (VMI) iki kitų kalendorinių metų kovo 1 dienos. Mokesčio mokėtojai juridiniai asmenys atitinkamo mokestinio laikotarpio mokesčio deklaraciją mokesčių administratoriui pateikia iki kitų kalendorinių metų vasario 15 dienos. Juridiniai asmenys nekilnojamojo turto mokestį turi sumokėti iki kitų kalendorinių metų vasario 15 dienos (išskyrus, kai mokamas avansinis mokestis kas ketvirtį), o fiziniai asmenys – iki kitų kalendorinių metų kovo 15 dienos. </w:t>
      </w:r>
      <w:r w:rsidR="00F36C92" w:rsidRPr="009A390A">
        <w:t>Mokestis, neviršijantis 5 eurų, nemokamas.</w:t>
      </w:r>
    </w:p>
    <w:p w14:paraId="0CAEF945" w14:textId="10F9360F" w:rsidR="00A25947" w:rsidRPr="009A390A" w:rsidRDefault="00A25947" w:rsidP="00BC7787">
      <w:pPr>
        <w:pStyle w:val="Betarp"/>
        <w:ind w:firstLine="993"/>
        <w:jc w:val="both"/>
        <w:rPr>
          <w:b/>
        </w:rPr>
      </w:pPr>
      <w:r w:rsidRPr="009A390A">
        <w:rPr>
          <w:b/>
        </w:rPr>
        <w:t>3. Kokių rezultatų laukiama.</w:t>
      </w:r>
    </w:p>
    <w:p w14:paraId="75F58EDF" w14:textId="5BBDC68F" w:rsidR="009F646E" w:rsidRPr="009A390A" w:rsidRDefault="007843D6" w:rsidP="009F646E">
      <w:pPr>
        <w:pStyle w:val="Betarp"/>
        <w:ind w:firstLine="993"/>
        <w:jc w:val="both"/>
        <w:rPr>
          <w:color w:val="000300"/>
        </w:rPr>
      </w:pPr>
      <w:r w:rsidRPr="009A390A">
        <w:t>Teisės aktų įgyvendinimas</w:t>
      </w:r>
      <w:r w:rsidR="00A25947" w:rsidRPr="009A390A">
        <w:t>.</w:t>
      </w:r>
      <w:r w:rsidR="009F646E" w:rsidRPr="009A390A">
        <w:t xml:space="preserve"> </w:t>
      </w:r>
      <w:r w:rsidR="00AA320F" w:rsidRPr="009A390A">
        <w:t xml:space="preserve">Patvirtinti nekilnojamojo turto mokesčio tarifai bus taikomi apskaičiuojant ir deklaruojant 2026 metų, taip pat vėlesnių mokestinių laikotarpių nekilnojamojo turto mokestį. </w:t>
      </w:r>
      <w:r w:rsidR="00550934" w:rsidRPr="009A390A">
        <w:t xml:space="preserve">Nekilnojamojo turto mokestį administruoja Valstybinė mokesčių inspekcija. </w:t>
      </w:r>
    </w:p>
    <w:p w14:paraId="4A019459" w14:textId="77777777" w:rsidR="00A25947" w:rsidRPr="009C4857" w:rsidRDefault="00A25947" w:rsidP="00BC7787">
      <w:pPr>
        <w:ind w:right="-1" w:firstLine="993"/>
        <w:jc w:val="both"/>
        <w:rPr>
          <w:rFonts w:eastAsia="Calibri"/>
          <w:b/>
          <w:lang w:eastAsia="en-US"/>
        </w:rPr>
      </w:pPr>
      <w:r w:rsidRPr="009A390A">
        <w:rPr>
          <w:b/>
        </w:rPr>
        <w:t>4. Lėšų poreikis ir šaltiniai.</w:t>
      </w:r>
    </w:p>
    <w:p w14:paraId="39A4E868" w14:textId="005E8CBF" w:rsidR="00A25947" w:rsidRPr="009C4857" w:rsidRDefault="00A25947" w:rsidP="00BC7787">
      <w:pPr>
        <w:ind w:right="-1" w:firstLine="993"/>
        <w:jc w:val="both"/>
        <w:rPr>
          <w:rFonts w:eastAsia="Calibri"/>
          <w:lang w:eastAsia="en-US"/>
        </w:rPr>
      </w:pPr>
      <w:r w:rsidRPr="009C4857">
        <w:rPr>
          <w:rFonts w:eastAsia="Calibri"/>
          <w:lang w:eastAsia="en-US"/>
        </w:rPr>
        <w:t>Lėšų sprendimui įgyvendinti nereikės.</w:t>
      </w:r>
      <w:r w:rsidR="00550934" w:rsidRPr="009C4857">
        <w:rPr>
          <w:rFonts w:eastAsia="Calibri"/>
          <w:lang w:eastAsia="en-US"/>
        </w:rPr>
        <w:t xml:space="preserve"> </w:t>
      </w:r>
    </w:p>
    <w:p w14:paraId="0674C1F7" w14:textId="77777777" w:rsidR="00A25947" w:rsidRPr="009A390A" w:rsidRDefault="00A25947" w:rsidP="00BC7787">
      <w:pPr>
        <w:ind w:right="-1" w:firstLine="993"/>
        <w:jc w:val="both"/>
        <w:rPr>
          <w:b/>
        </w:rPr>
      </w:pPr>
      <w:r w:rsidRPr="009A390A">
        <w:rPr>
          <w:b/>
        </w:rPr>
        <w:t>5. Kiti sprendimui priimti reikalingi pagrindimai, skaičiavimai ar paaiškinimai.</w:t>
      </w:r>
    </w:p>
    <w:p w14:paraId="3185E4AA" w14:textId="77777777" w:rsidR="00D81E0D" w:rsidRPr="009A390A" w:rsidRDefault="00D81E0D" w:rsidP="00BC7787">
      <w:pPr>
        <w:ind w:right="-1" w:firstLine="993"/>
        <w:jc w:val="both"/>
        <w:rPr>
          <w:bCs/>
        </w:rPr>
      </w:pPr>
      <w:r w:rsidRPr="009A390A">
        <w:rPr>
          <w:bCs/>
        </w:rPr>
        <w:t>Kretingos rajono savivaldybės gaunamos šio</w:t>
      </w:r>
      <w:r w:rsidRPr="009A390A">
        <w:t xml:space="preserve"> mokesčio pajamos ir</w:t>
      </w:r>
      <w:r w:rsidRPr="009A390A">
        <w:rPr>
          <w:bCs/>
        </w:rPr>
        <w:t xml:space="preserve"> nekilnojamojo turto mokesčio mokėtojai pateikiami lentelėje:</w:t>
      </w:r>
    </w:p>
    <w:tbl>
      <w:tblPr>
        <w:tblW w:w="9616" w:type="dxa"/>
        <w:tblLook w:val="04A0" w:firstRow="1" w:lastRow="0" w:firstColumn="1" w:lastColumn="0" w:noHBand="0" w:noVBand="1"/>
      </w:tblPr>
      <w:tblGrid>
        <w:gridCol w:w="1129"/>
        <w:gridCol w:w="1162"/>
        <w:gridCol w:w="1377"/>
        <w:gridCol w:w="1200"/>
        <w:gridCol w:w="2100"/>
        <w:gridCol w:w="1134"/>
        <w:gridCol w:w="601"/>
        <w:gridCol w:w="904"/>
        <w:gridCol w:w="9"/>
      </w:tblGrid>
      <w:tr w:rsidR="00D81E0D" w:rsidRPr="009A390A" w14:paraId="45DA2D79" w14:textId="77777777" w:rsidTr="00D1607C">
        <w:trPr>
          <w:trHeight w:val="360"/>
        </w:trPr>
        <w:tc>
          <w:tcPr>
            <w:tcW w:w="1129" w:type="dxa"/>
            <w:vMerge w:val="restart"/>
            <w:tcBorders>
              <w:top w:val="single" w:sz="4" w:space="0" w:color="auto"/>
              <w:left w:val="single" w:sz="4" w:space="0" w:color="auto"/>
              <w:bottom w:val="single" w:sz="4" w:space="0" w:color="000000"/>
              <w:right w:val="single" w:sz="4" w:space="0" w:color="auto"/>
            </w:tcBorders>
            <w:noWrap/>
            <w:vAlign w:val="bottom"/>
            <w:hideMark/>
          </w:tcPr>
          <w:p w14:paraId="74DF2607" w14:textId="77777777" w:rsidR="00D81E0D" w:rsidRPr="009A390A" w:rsidRDefault="00D81E0D" w:rsidP="00D1607C">
            <w:pPr>
              <w:jc w:val="center"/>
              <w:rPr>
                <w:color w:val="000000"/>
                <w:sz w:val="22"/>
                <w:szCs w:val="22"/>
              </w:rPr>
            </w:pPr>
            <w:r w:rsidRPr="009A390A">
              <w:rPr>
                <w:color w:val="000000"/>
                <w:sz w:val="22"/>
                <w:szCs w:val="22"/>
              </w:rPr>
              <w:t> </w:t>
            </w:r>
          </w:p>
        </w:tc>
        <w:tc>
          <w:tcPr>
            <w:tcW w:w="1162" w:type="dxa"/>
            <w:vMerge w:val="restart"/>
            <w:tcBorders>
              <w:top w:val="single" w:sz="4" w:space="0" w:color="auto"/>
              <w:left w:val="single" w:sz="4" w:space="0" w:color="auto"/>
              <w:bottom w:val="single" w:sz="4" w:space="0" w:color="000000"/>
              <w:right w:val="single" w:sz="4" w:space="0" w:color="auto"/>
            </w:tcBorders>
            <w:vAlign w:val="center"/>
            <w:hideMark/>
          </w:tcPr>
          <w:p w14:paraId="2FC2D56D" w14:textId="77777777" w:rsidR="00D81E0D" w:rsidRPr="009A390A" w:rsidRDefault="00D81E0D" w:rsidP="00D1607C">
            <w:pPr>
              <w:jc w:val="center"/>
              <w:rPr>
                <w:color w:val="000000"/>
                <w:sz w:val="22"/>
                <w:szCs w:val="22"/>
              </w:rPr>
            </w:pPr>
            <w:r w:rsidRPr="009A390A">
              <w:rPr>
                <w:color w:val="000000"/>
                <w:sz w:val="22"/>
                <w:szCs w:val="22"/>
              </w:rPr>
              <w:t>Mokesčių mokėtojų skaičius</w:t>
            </w:r>
          </w:p>
        </w:tc>
        <w:tc>
          <w:tcPr>
            <w:tcW w:w="1377" w:type="dxa"/>
            <w:vMerge w:val="restart"/>
            <w:tcBorders>
              <w:top w:val="single" w:sz="4" w:space="0" w:color="auto"/>
              <w:left w:val="single" w:sz="4" w:space="0" w:color="auto"/>
              <w:bottom w:val="single" w:sz="4" w:space="0" w:color="000000"/>
              <w:right w:val="single" w:sz="4" w:space="0" w:color="auto"/>
            </w:tcBorders>
            <w:vAlign w:val="center"/>
            <w:hideMark/>
          </w:tcPr>
          <w:p w14:paraId="60828C3D" w14:textId="77777777" w:rsidR="00D81E0D" w:rsidRPr="009A390A" w:rsidRDefault="00D81E0D" w:rsidP="00D1607C">
            <w:pPr>
              <w:jc w:val="center"/>
              <w:rPr>
                <w:color w:val="000000"/>
                <w:sz w:val="22"/>
                <w:szCs w:val="22"/>
              </w:rPr>
            </w:pPr>
            <w:r w:rsidRPr="009A390A">
              <w:rPr>
                <w:color w:val="000000"/>
                <w:sz w:val="22"/>
                <w:szCs w:val="22"/>
              </w:rPr>
              <w:t>Apskaičiuota suma, tūkst. Eur</w:t>
            </w:r>
          </w:p>
        </w:tc>
        <w:tc>
          <w:tcPr>
            <w:tcW w:w="1200" w:type="dxa"/>
            <w:vMerge w:val="restart"/>
            <w:tcBorders>
              <w:top w:val="single" w:sz="4" w:space="0" w:color="auto"/>
              <w:left w:val="single" w:sz="4" w:space="0" w:color="auto"/>
              <w:bottom w:val="single" w:sz="4" w:space="0" w:color="000000"/>
              <w:right w:val="single" w:sz="4" w:space="0" w:color="auto"/>
            </w:tcBorders>
            <w:vAlign w:val="center"/>
            <w:hideMark/>
          </w:tcPr>
          <w:p w14:paraId="0B4AF19B" w14:textId="77777777" w:rsidR="00D81E0D" w:rsidRPr="009A390A" w:rsidRDefault="00D81E0D" w:rsidP="00D1607C">
            <w:pPr>
              <w:jc w:val="center"/>
              <w:rPr>
                <w:color w:val="000000"/>
                <w:sz w:val="22"/>
                <w:szCs w:val="22"/>
              </w:rPr>
            </w:pPr>
            <w:r w:rsidRPr="009A390A">
              <w:rPr>
                <w:color w:val="000000"/>
                <w:sz w:val="22"/>
                <w:szCs w:val="22"/>
              </w:rPr>
              <w:t>Suteiktos lengvatos, tūkst. Eur</w:t>
            </w:r>
          </w:p>
        </w:tc>
        <w:tc>
          <w:tcPr>
            <w:tcW w:w="2100" w:type="dxa"/>
            <w:vMerge w:val="restart"/>
            <w:tcBorders>
              <w:top w:val="single" w:sz="4" w:space="0" w:color="auto"/>
              <w:left w:val="single" w:sz="4" w:space="0" w:color="auto"/>
              <w:bottom w:val="single" w:sz="4" w:space="0" w:color="000000"/>
              <w:right w:val="single" w:sz="4" w:space="0" w:color="auto"/>
            </w:tcBorders>
            <w:vAlign w:val="center"/>
            <w:hideMark/>
          </w:tcPr>
          <w:p w14:paraId="55237AEF" w14:textId="77777777" w:rsidR="00D81E0D" w:rsidRPr="009A390A" w:rsidRDefault="00D81E0D" w:rsidP="00D1607C">
            <w:pPr>
              <w:jc w:val="center"/>
              <w:rPr>
                <w:color w:val="000000"/>
                <w:sz w:val="22"/>
                <w:szCs w:val="22"/>
              </w:rPr>
            </w:pPr>
            <w:r w:rsidRPr="009A390A">
              <w:rPr>
                <w:color w:val="000000"/>
                <w:sz w:val="22"/>
                <w:szCs w:val="22"/>
              </w:rPr>
              <w:t>Apskaičiuota savivaldybei tenkanti mokesčio suma, tūkst. Eur</w:t>
            </w:r>
          </w:p>
        </w:tc>
        <w:tc>
          <w:tcPr>
            <w:tcW w:w="2648" w:type="dxa"/>
            <w:gridSpan w:val="4"/>
            <w:tcBorders>
              <w:top w:val="single" w:sz="4" w:space="0" w:color="auto"/>
              <w:left w:val="nil"/>
              <w:bottom w:val="single" w:sz="4" w:space="0" w:color="auto"/>
              <w:right w:val="single" w:sz="4" w:space="0" w:color="000000"/>
            </w:tcBorders>
            <w:vAlign w:val="center"/>
            <w:hideMark/>
          </w:tcPr>
          <w:p w14:paraId="4D30026F" w14:textId="77777777" w:rsidR="00D81E0D" w:rsidRPr="009A390A" w:rsidRDefault="00D81E0D" w:rsidP="00D1607C">
            <w:pPr>
              <w:jc w:val="center"/>
              <w:rPr>
                <w:color w:val="000000"/>
                <w:sz w:val="22"/>
                <w:szCs w:val="22"/>
              </w:rPr>
            </w:pPr>
            <w:r w:rsidRPr="009A390A">
              <w:rPr>
                <w:color w:val="000000"/>
                <w:sz w:val="22"/>
                <w:szCs w:val="22"/>
              </w:rPr>
              <w:t>Gauta NTM pajamų, tūkst. Eur</w:t>
            </w:r>
          </w:p>
        </w:tc>
      </w:tr>
      <w:tr w:rsidR="00D81E0D" w:rsidRPr="009A390A" w14:paraId="5A7F0429" w14:textId="77777777" w:rsidTr="00D1607C">
        <w:trPr>
          <w:gridAfter w:val="1"/>
          <w:wAfter w:w="9" w:type="dxa"/>
          <w:trHeight w:val="315"/>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E0F49EE" w14:textId="77777777" w:rsidR="00D81E0D" w:rsidRPr="009A390A" w:rsidRDefault="00D81E0D" w:rsidP="00D1607C">
            <w:pPr>
              <w:rPr>
                <w:color w:val="000000"/>
                <w:sz w:val="22"/>
                <w:szCs w:val="22"/>
              </w:rPr>
            </w:pPr>
          </w:p>
        </w:tc>
        <w:tc>
          <w:tcPr>
            <w:tcW w:w="1162" w:type="dxa"/>
            <w:vMerge/>
            <w:tcBorders>
              <w:top w:val="single" w:sz="4" w:space="0" w:color="auto"/>
              <w:left w:val="single" w:sz="4" w:space="0" w:color="auto"/>
              <w:bottom w:val="single" w:sz="4" w:space="0" w:color="000000"/>
              <w:right w:val="single" w:sz="4" w:space="0" w:color="auto"/>
            </w:tcBorders>
            <w:vAlign w:val="center"/>
            <w:hideMark/>
          </w:tcPr>
          <w:p w14:paraId="0B941A89" w14:textId="77777777" w:rsidR="00D81E0D" w:rsidRPr="009A390A" w:rsidRDefault="00D81E0D" w:rsidP="00D1607C">
            <w:pPr>
              <w:rPr>
                <w:color w:val="000000"/>
                <w:sz w:val="22"/>
                <w:szCs w:val="22"/>
              </w:rPr>
            </w:pPr>
          </w:p>
        </w:tc>
        <w:tc>
          <w:tcPr>
            <w:tcW w:w="1377" w:type="dxa"/>
            <w:vMerge/>
            <w:tcBorders>
              <w:top w:val="single" w:sz="4" w:space="0" w:color="auto"/>
              <w:left w:val="single" w:sz="4" w:space="0" w:color="auto"/>
              <w:bottom w:val="single" w:sz="4" w:space="0" w:color="000000"/>
              <w:right w:val="single" w:sz="4" w:space="0" w:color="auto"/>
            </w:tcBorders>
            <w:vAlign w:val="center"/>
            <w:hideMark/>
          </w:tcPr>
          <w:p w14:paraId="4BCAC2E6" w14:textId="77777777" w:rsidR="00D81E0D" w:rsidRPr="009A390A" w:rsidRDefault="00D81E0D" w:rsidP="00D1607C">
            <w:pPr>
              <w:rPr>
                <w:color w:val="000000"/>
                <w:sz w:val="22"/>
                <w:szCs w:val="22"/>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CA3D62F" w14:textId="77777777" w:rsidR="00D81E0D" w:rsidRPr="009A390A" w:rsidRDefault="00D81E0D" w:rsidP="00D1607C">
            <w:pPr>
              <w:rPr>
                <w:color w:val="000000"/>
                <w:sz w:val="22"/>
                <w:szCs w:val="22"/>
              </w:rPr>
            </w:pPr>
          </w:p>
        </w:tc>
        <w:tc>
          <w:tcPr>
            <w:tcW w:w="2100" w:type="dxa"/>
            <w:vMerge/>
            <w:tcBorders>
              <w:top w:val="single" w:sz="4" w:space="0" w:color="auto"/>
              <w:left w:val="single" w:sz="4" w:space="0" w:color="auto"/>
              <w:bottom w:val="single" w:sz="4" w:space="0" w:color="000000"/>
              <w:right w:val="single" w:sz="4" w:space="0" w:color="auto"/>
            </w:tcBorders>
            <w:vAlign w:val="center"/>
            <w:hideMark/>
          </w:tcPr>
          <w:p w14:paraId="745CA0BD" w14:textId="77777777" w:rsidR="00D81E0D" w:rsidRPr="009A390A" w:rsidRDefault="00D81E0D" w:rsidP="00D1607C">
            <w:pPr>
              <w:rPr>
                <w:color w:val="000000"/>
                <w:sz w:val="22"/>
                <w:szCs w:val="22"/>
              </w:rPr>
            </w:pPr>
          </w:p>
        </w:tc>
        <w:tc>
          <w:tcPr>
            <w:tcW w:w="1134" w:type="dxa"/>
            <w:vMerge w:val="restart"/>
            <w:tcBorders>
              <w:top w:val="nil"/>
              <w:left w:val="single" w:sz="4" w:space="0" w:color="auto"/>
              <w:bottom w:val="single" w:sz="4" w:space="0" w:color="auto"/>
              <w:right w:val="single" w:sz="4" w:space="0" w:color="auto"/>
            </w:tcBorders>
            <w:vAlign w:val="center"/>
            <w:hideMark/>
          </w:tcPr>
          <w:p w14:paraId="208F606F" w14:textId="77777777" w:rsidR="00D81E0D" w:rsidRPr="009A390A" w:rsidRDefault="00D81E0D" w:rsidP="00D1607C">
            <w:pPr>
              <w:jc w:val="center"/>
              <w:rPr>
                <w:color w:val="000000"/>
                <w:sz w:val="22"/>
                <w:szCs w:val="22"/>
              </w:rPr>
            </w:pPr>
            <w:r w:rsidRPr="009A390A">
              <w:rPr>
                <w:color w:val="000000"/>
                <w:sz w:val="22"/>
                <w:szCs w:val="22"/>
              </w:rPr>
              <w:t>VISO</w:t>
            </w:r>
          </w:p>
        </w:tc>
        <w:tc>
          <w:tcPr>
            <w:tcW w:w="1505" w:type="dxa"/>
            <w:gridSpan w:val="2"/>
            <w:tcBorders>
              <w:top w:val="single" w:sz="4" w:space="0" w:color="auto"/>
              <w:left w:val="nil"/>
              <w:bottom w:val="single" w:sz="4" w:space="0" w:color="auto"/>
              <w:right w:val="single" w:sz="4" w:space="0" w:color="000000"/>
            </w:tcBorders>
            <w:vAlign w:val="center"/>
            <w:hideMark/>
          </w:tcPr>
          <w:p w14:paraId="377339D9" w14:textId="77777777" w:rsidR="00D81E0D" w:rsidRPr="009A390A" w:rsidRDefault="00D81E0D" w:rsidP="00D1607C">
            <w:pPr>
              <w:jc w:val="center"/>
              <w:rPr>
                <w:color w:val="000000"/>
                <w:sz w:val="22"/>
                <w:szCs w:val="22"/>
              </w:rPr>
            </w:pPr>
            <w:r w:rsidRPr="009A390A">
              <w:rPr>
                <w:color w:val="000000"/>
                <w:sz w:val="22"/>
                <w:szCs w:val="22"/>
              </w:rPr>
              <w:t>iš jų:</w:t>
            </w:r>
          </w:p>
        </w:tc>
      </w:tr>
      <w:tr w:rsidR="00D81E0D" w:rsidRPr="009A390A" w14:paraId="150F8D09" w14:textId="77777777" w:rsidTr="00D1607C">
        <w:trPr>
          <w:gridAfter w:val="1"/>
          <w:wAfter w:w="9" w:type="dxa"/>
          <w:trHeight w:val="30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5CF79ED" w14:textId="77777777" w:rsidR="00D81E0D" w:rsidRPr="009A390A" w:rsidRDefault="00D81E0D" w:rsidP="00D1607C">
            <w:pPr>
              <w:rPr>
                <w:color w:val="000000"/>
                <w:sz w:val="22"/>
                <w:szCs w:val="22"/>
              </w:rPr>
            </w:pPr>
          </w:p>
        </w:tc>
        <w:tc>
          <w:tcPr>
            <w:tcW w:w="1162" w:type="dxa"/>
            <w:vMerge/>
            <w:tcBorders>
              <w:top w:val="single" w:sz="4" w:space="0" w:color="auto"/>
              <w:left w:val="single" w:sz="4" w:space="0" w:color="auto"/>
              <w:bottom w:val="single" w:sz="4" w:space="0" w:color="000000"/>
              <w:right w:val="single" w:sz="4" w:space="0" w:color="auto"/>
            </w:tcBorders>
            <w:vAlign w:val="center"/>
            <w:hideMark/>
          </w:tcPr>
          <w:p w14:paraId="13855B8E" w14:textId="77777777" w:rsidR="00D81E0D" w:rsidRPr="009A390A" w:rsidRDefault="00D81E0D" w:rsidP="00D1607C">
            <w:pPr>
              <w:rPr>
                <w:color w:val="000000"/>
                <w:sz w:val="22"/>
                <w:szCs w:val="22"/>
              </w:rPr>
            </w:pPr>
          </w:p>
        </w:tc>
        <w:tc>
          <w:tcPr>
            <w:tcW w:w="1377" w:type="dxa"/>
            <w:vMerge/>
            <w:tcBorders>
              <w:top w:val="single" w:sz="4" w:space="0" w:color="auto"/>
              <w:left w:val="single" w:sz="4" w:space="0" w:color="auto"/>
              <w:bottom w:val="single" w:sz="4" w:space="0" w:color="000000"/>
              <w:right w:val="single" w:sz="4" w:space="0" w:color="auto"/>
            </w:tcBorders>
            <w:vAlign w:val="center"/>
            <w:hideMark/>
          </w:tcPr>
          <w:p w14:paraId="7E1623FC" w14:textId="77777777" w:rsidR="00D81E0D" w:rsidRPr="009A390A" w:rsidRDefault="00D81E0D" w:rsidP="00D1607C">
            <w:pPr>
              <w:rPr>
                <w:color w:val="000000"/>
                <w:sz w:val="22"/>
                <w:szCs w:val="22"/>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26F6CBD" w14:textId="77777777" w:rsidR="00D81E0D" w:rsidRPr="009A390A" w:rsidRDefault="00D81E0D" w:rsidP="00D1607C">
            <w:pPr>
              <w:rPr>
                <w:color w:val="000000"/>
                <w:sz w:val="22"/>
                <w:szCs w:val="22"/>
              </w:rPr>
            </w:pPr>
          </w:p>
        </w:tc>
        <w:tc>
          <w:tcPr>
            <w:tcW w:w="2100" w:type="dxa"/>
            <w:vMerge/>
            <w:tcBorders>
              <w:top w:val="single" w:sz="4" w:space="0" w:color="auto"/>
              <w:left w:val="single" w:sz="4" w:space="0" w:color="auto"/>
              <w:bottom w:val="single" w:sz="4" w:space="0" w:color="000000"/>
              <w:right w:val="single" w:sz="4" w:space="0" w:color="auto"/>
            </w:tcBorders>
            <w:vAlign w:val="center"/>
            <w:hideMark/>
          </w:tcPr>
          <w:p w14:paraId="77AB619A" w14:textId="77777777" w:rsidR="00D81E0D" w:rsidRPr="009A390A" w:rsidRDefault="00D81E0D" w:rsidP="00D1607C">
            <w:pPr>
              <w:rPr>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04CC5413" w14:textId="77777777" w:rsidR="00D81E0D" w:rsidRPr="009A390A" w:rsidRDefault="00D81E0D" w:rsidP="00D1607C">
            <w:pPr>
              <w:rPr>
                <w:color w:val="000000"/>
                <w:sz w:val="22"/>
                <w:szCs w:val="22"/>
              </w:rPr>
            </w:pPr>
          </w:p>
        </w:tc>
        <w:tc>
          <w:tcPr>
            <w:tcW w:w="601" w:type="dxa"/>
            <w:tcBorders>
              <w:top w:val="nil"/>
              <w:left w:val="nil"/>
              <w:bottom w:val="single" w:sz="4" w:space="0" w:color="auto"/>
              <w:right w:val="single" w:sz="4" w:space="0" w:color="auto"/>
            </w:tcBorders>
            <w:noWrap/>
            <w:vAlign w:val="center"/>
            <w:hideMark/>
          </w:tcPr>
          <w:p w14:paraId="2DC20B96" w14:textId="77777777" w:rsidR="00D81E0D" w:rsidRPr="009A390A" w:rsidRDefault="00D81E0D" w:rsidP="00D1607C">
            <w:pPr>
              <w:jc w:val="center"/>
              <w:rPr>
                <w:color w:val="000000"/>
                <w:sz w:val="22"/>
                <w:szCs w:val="22"/>
              </w:rPr>
            </w:pPr>
            <w:r w:rsidRPr="009A390A">
              <w:rPr>
                <w:color w:val="000000"/>
                <w:sz w:val="22"/>
                <w:szCs w:val="22"/>
              </w:rPr>
              <w:t>FA</w:t>
            </w:r>
          </w:p>
        </w:tc>
        <w:tc>
          <w:tcPr>
            <w:tcW w:w="904" w:type="dxa"/>
            <w:tcBorders>
              <w:top w:val="nil"/>
              <w:left w:val="nil"/>
              <w:bottom w:val="single" w:sz="4" w:space="0" w:color="auto"/>
              <w:right w:val="single" w:sz="4" w:space="0" w:color="auto"/>
            </w:tcBorders>
            <w:noWrap/>
            <w:vAlign w:val="center"/>
            <w:hideMark/>
          </w:tcPr>
          <w:p w14:paraId="08433331" w14:textId="77777777" w:rsidR="00D81E0D" w:rsidRPr="009A390A" w:rsidRDefault="00D81E0D" w:rsidP="00D1607C">
            <w:pPr>
              <w:jc w:val="center"/>
              <w:rPr>
                <w:color w:val="000000"/>
                <w:sz w:val="22"/>
                <w:szCs w:val="22"/>
              </w:rPr>
            </w:pPr>
            <w:r w:rsidRPr="009A390A">
              <w:rPr>
                <w:color w:val="000000"/>
                <w:sz w:val="22"/>
                <w:szCs w:val="22"/>
              </w:rPr>
              <w:t>JA</w:t>
            </w:r>
          </w:p>
        </w:tc>
      </w:tr>
      <w:tr w:rsidR="00D81E0D" w:rsidRPr="009A390A" w14:paraId="230C69F5" w14:textId="77777777" w:rsidTr="00D1607C">
        <w:trPr>
          <w:gridAfter w:val="1"/>
          <w:wAfter w:w="9" w:type="dxa"/>
          <w:trHeight w:val="315"/>
        </w:trPr>
        <w:tc>
          <w:tcPr>
            <w:tcW w:w="1129" w:type="dxa"/>
            <w:tcBorders>
              <w:top w:val="nil"/>
              <w:left w:val="single" w:sz="4" w:space="0" w:color="auto"/>
              <w:bottom w:val="single" w:sz="4" w:space="0" w:color="auto"/>
              <w:right w:val="single" w:sz="4" w:space="0" w:color="auto"/>
            </w:tcBorders>
            <w:noWrap/>
            <w:vAlign w:val="bottom"/>
            <w:hideMark/>
          </w:tcPr>
          <w:p w14:paraId="10A24885" w14:textId="77777777" w:rsidR="00D81E0D" w:rsidRPr="009A390A" w:rsidRDefault="00D81E0D" w:rsidP="00D1607C">
            <w:pPr>
              <w:rPr>
                <w:sz w:val="22"/>
                <w:szCs w:val="22"/>
              </w:rPr>
            </w:pPr>
            <w:r w:rsidRPr="009A390A">
              <w:rPr>
                <w:sz w:val="22"/>
                <w:szCs w:val="22"/>
              </w:rPr>
              <w:t>2020 m.</w:t>
            </w:r>
          </w:p>
        </w:tc>
        <w:tc>
          <w:tcPr>
            <w:tcW w:w="1162" w:type="dxa"/>
            <w:tcBorders>
              <w:top w:val="nil"/>
              <w:left w:val="nil"/>
              <w:bottom w:val="single" w:sz="4" w:space="0" w:color="auto"/>
              <w:right w:val="single" w:sz="4" w:space="0" w:color="auto"/>
            </w:tcBorders>
            <w:noWrap/>
            <w:vAlign w:val="bottom"/>
            <w:hideMark/>
          </w:tcPr>
          <w:p w14:paraId="3CC4DD46" w14:textId="77777777" w:rsidR="00D81E0D" w:rsidRPr="009A390A" w:rsidRDefault="00D81E0D" w:rsidP="00D1607C">
            <w:pPr>
              <w:jc w:val="center"/>
              <w:rPr>
                <w:sz w:val="22"/>
                <w:szCs w:val="22"/>
              </w:rPr>
            </w:pPr>
            <w:r w:rsidRPr="009A390A">
              <w:rPr>
                <w:sz w:val="22"/>
                <w:szCs w:val="22"/>
              </w:rPr>
              <w:t>962</w:t>
            </w:r>
          </w:p>
        </w:tc>
        <w:tc>
          <w:tcPr>
            <w:tcW w:w="1377" w:type="dxa"/>
            <w:tcBorders>
              <w:top w:val="nil"/>
              <w:left w:val="nil"/>
              <w:bottom w:val="single" w:sz="4" w:space="0" w:color="auto"/>
              <w:right w:val="single" w:sz="4" w:space="0" w:color="auto"/>
            </w:tcBorders>
            <w:noWrap/>
            <w:vAlign w:val="bottom"/>
            <w:hideMark/>
          </w:tcPr>
          <w:p w14:paraId="6769A0CB" w14:textId="77777777" w:rsidR="00D81E0D" w:rsidRPr="009A390A" w:rsidRDefault="00D81E0D" w:rsidP="00D1607C">
            <w:pPr>
              <w:jc w:val="center"/>
              <w:rPr>
                <w:sz w:val="22"/>
                <w:szCs w:val="22"/>
              </w:rPr>
            </w:pPr>
            <w:r w:rsidRPr="009A390A">
              <w:rPr>
                <w:sz w:val="22"/>
                <w:szCs w:val="22"/>
              </w:rPr>
              <w:t>957,9</w:t>
            </w:r>
          </w:p>
        </w:tc>
        <w:tc>
          <w:tcPr>
            <w:tcW w:w="1200" w:type="dxa"/>
            <w:tcBorders>
              <w:top w:val="nil"/>
              <w:left w:val="nil"/>
              <w:bottom w:val="single" w:sz="4" w:space="0" w:color="auto"/>
              <w:right w:val="single" w:sz="4" w:space="0" w:color="auto"/>
            </w:tcBorders>
            <w:noWrap/>
            <w:vAlign w:val="bottom"/>
            <w:hideMark/>
          </w:tcPr>
          <w:p w14:paraId="5A4A67D5" w14:textId="77777777" w:rsidR="00D81E0D" w:rsidRPr="009A390A" w:rsidRDefault="00D81E0D" w:rsidP="00D1607C">
            <w:pPr>
              <w:jc w:val="center"/>
              <w:rPr>
                <w:sz w:val="22"/>
                <w:szCs w:val="22"/>
              </w:rPr>
            </w:pPr>
            <w:r w:rsidRPr="009A390A">
              <w:rPr>
                <w:sz w:val="22"/>
                <w:szCs w:val="22"/>
              </w:rPr>
              <w:t>45,1</w:t>
            </w:r>
          </w:p>
        </w:tc>
        <w:tc>
          <w:tcPr>
            <w:tcW w:w="2100" w:type="dxa"/>
            <w:tcBorders>
              <w:top w:val="nil"/>
              <w:left w:val="nil"/>
              <w:bottom w:val="single" w:sz="4" w:space="0" w:color="auto"/>
              <w:right w:val="single" w:sz="4" w:space="0" w:color="auto"/>
            </w:tcBorders>
            <w:noWrap/>
            <w:vAlign w:val="bottom"/>
            <w:hideMark/>
          </w:tcPr>
          <w:p w14:paraId="737E3948" w14:textId="77777777" w:rsidR="00D81E0D" w:rsidRPr="009A390A" w:rsidRDefault="00D81E0D" w:rsidP="00D1607C">
            <w:pPr>
              <w:jc w:val="center"/>
              <w:rPr>
                <w:sz w:val="22"/>
                <w:szCs w:val="22"/>
              </w:rPr>
            </w:pPr>
            <w:r w:rsidRPr="009A390A">
              <w:rPr>
                <w:sz w:val="22"/>
                <w:szCs w:val="22"/>
              </w:rPr>
              <w:t>913,2</w:t>
            </w:r>
          </w:p>
        </w:tc>
        <w:tc>
          <w:tcPr>
            <w:tcW w:w="1134" w:type="dxa"/>
            <w:tcBorders>
              <w:top w:val="nil"/>
              <w:left w:val="nil"/>
              <w:bottom w:val="single" w:sz="4" w:space="0" w:color="auto"/>
              <w:right w:val="single" w:sz="4" w:space="0" w:color="auto"/>
            </w:tcBorders>
            <w:noWrap/>
            <w:vAlign w:val="bottom"/>
            <w:hideMark/>
          </w:tcPr>
          <w:p w14:paraId="4C68765E" w14:textId="77777777" w:rsidR="00D81E0D" w:rsidRPr="009A390A" w:rsidRDefault="00D81E0D" w:rsidP="00D1607C">
            <w:pPr>
              <w:jc w:val="center"/>
              <w:rPr>
                <w:sz w:val="22"/>
                <w:szCs w:val="22"/>
              </w:rPr>
            </w:pPr>
            <w:r w:rsidRPr="009A390A">
              <w:rPr>
                <w:sz w:val="22"/>
                <w:szCs w:val="22"/>
              </w:rPr>
              <w:t>851,5</w:t>
            </w:r>
          </w:p>
        </w:tc>
        <w:tc>
          <w:tcPr>
            <w:tcW w:w="601" w:type="dxa"/>
            <w:tcBorders>
              <w:top w:val="nil"/>
              <w:left w:val="nil"/>
              <w:bottom w:val="single" w:sz="4" w:space="0" w:color="auto"/>
              <w:right w:val="single" w:sz="4" w:space="0" w:color="auto"/>
            </w:tcBorders>
            <w:noWrap/>
            <w:vAlign w:val="bottom"/>
            <w:hideMark/>
          </w:tcPr>
          <w:p w14:paraId="5E91CDB0" w14:textId="77777777" w:rsidR="00D81E0D" w:rsidRPr="009A390A" w:rsidRDefault="00D81E0D" w:rsidP="00D1607C">
            <w:pPr>
              <w:jc w:val="center"/>
              <w:rPr>
                <w:color w:val="000000"/>
                <w:sz w:val="22"/>
                <w:szCs w:val="22"/>
              </w:rPr>
            </w:pPr>
            <w:r w:rsidRPr="009A390A">
              <w:rPr>
                <w:color w:val="000000"/>
                <w:sz w:val="22"/>
                <w:szCs w:val="22"/>
              </w:rPr>
              <w:t>28,2</w:t>
            </w:r>
          </w:p>
        </w:tc>
        <w:tc>
          <w:tcPr>
            <w:tcW w:w="904" w:type="dxa"/>
            <w:tcBorders>
              <w:top w:val="nil"/>
              <w:left w:val="nil"/>
              <w:bottom w:val="single" w:sz="4" w:space="0" w:color="auto"/>
              <w:right w:val="single" w:sz="4" w:space="0" w:color="auto"/>
            </w:tcBorders>
            <w:noWrap/>
            <w:vAlign w:val="bottom"/>
            <w:hideMark/>
          </w:tcPr>
          <w:p w14:paraId="1A8CB51A" w14:textId="77777777" w:rsidR="00D81E0D" w:rsidRPr="009A390A" w:rsidRDefault="00D81E0D" w:rsidP="00D1607C">
            <w:pPr>
              <w:jc w:val="center"/>
              <w:rPr>
                <w:color w:val="000000"/>
                <w:sz w:val="22"/>
                <w:szCs w:val="22"/>
              </w:rPr>
            </w:pPr>
            <w:r w:rsidRPr="009A390A">
              <w:rPr>
                <w:color w:val="000000"/>
                <w:sz w:val="22"/>
                <w:szCs w:val="22"/>
              </w:rPr>
              <w:t>823,3</w:t>
            </w:r>
          </w:p>
        </w:tc>
      </w:tr>
      <w:tr w:rsidR="00D81E0D" w:rsidRPr="009A390A" w14:paraId="62B1B489" w14:textId="77777777" w:rsidTr="00D1607C">
        <w:trPr>
          <w:gridAfter w:val="1"/>
          <w:wAfter w:w="9" w:type="dxa"/>
          <w:trHeight w:val="315"/>
        </w:trPr>
        <w:tc>
          <w:tcPr>
            <w:tcW w:w="1129" w:type="dxa"/>
            <w:tcBorders>
              <w:top w:val="nil"/>
              <w:left w:val="single" w:sz="4" w:space="0" w:color="auto"/>
              <w:bottom w:val="single" w:sz="4" w:space="0" w:color="auto"/>
              <w:right w:val="single" w:sz="4" w:space="0" w:color="auto"/>
            </w:tcBorders>
            <w:noWrap/>
            <w:vAlign w:val="bottom"/>
            <w:hideMark/>
          </w:tcPr>
          <w:p w14:paraId="2E49A8BB" w14:textId="77777777" w:rsidR="00D81E0D" w:rsidRPr="009A390A" w:rsidRDefault="00D81E0D" w:rsidP="00D1607C">
            <w:pPr>
              <w:rPr>
                <w:sz w:val="22"/>
                <w:szCs w:val="22"/>
              </w:rPr>
            </w:pPr>
            <w:r w:rsidRPr="009A390A">
              <w:rPr>
                <w:sz w:val="22"/>
                <w:szCs w:val="22"/>
              </w:rPr>
              <w:t>2021 m.</w:t>
            </w:r>
          </w:p>
        </w:tc>
        <w:tc>
          <w:tcPr>
            <w:tcW w:w="1162" w:type="dxa"/>
            <w:tcBorders>
              <w:top w:val="nil"/>
              <w:left w:val="nil"/>
              <w:bottom w:val="single" w:sz="4" w:space="0" w:color="auto"/>
              <w:right w:val="single" w:sz="4" w:space="0" w:color="auto"/>
            </w:tcBorders>
            <w:noWrap/>
            <w:vAlign w:val="bottom"/>
            <w:hideMark/>
          </w:tcPr>
          <w:p w14:paraId="5ADAE7C5" w14:textId="77777777" w:rsidR="00D81E0D" w:rsidRPr="009A390A" w:rsidRDefault="00D81E0D" w:rsidP="00D1607C">
            <w:pPr>
              <w:jc w:val="center"/>
              <w:rPr>
                <w:sz w:val="22"/>
                <w:szCs w:val="22"/>
              </w:rPr>
            </w:pPr>
            <w:r w:rsidRPr="009A390A">
              <w:rPr>
                <w:sz w:val="22"/>
                <w:szCs w:val="22"/>
              </w:rPr>
              <w:t>849</w:t>
            </w:r>
          </w:p>
        </w:tc>
        <w:tc>
          <w:tcPr>
            <w:tcW w:w="1377" w:type="dxa"/>
            <w:tcBorders>
              <w:top w:val="nil"/>
              <w:left w:val="nil"/>
              <w:bottom w:val="single" w:sz="4" w:space="0" w:color="auto"/>
              <w:right w:val="single" w:sz="4" w:space="0" w:color="auto"/>
            </w:tcBorders>
            <w:noWrap/>
            <w:vAlign w:val="bottom"/>
            <w:hideMark/>
          </w:tcPr>
          <w:p w14:paraId="1AFA689B" w14:textId="77777777" w:rsidR="00D81E0D" w:rsidRPr="009A390A" w:rsidRDefault="00D81E0D" w:rsidP="00D1607C">
            <w:pPr>
              <w:jc w:val="center"/>
              <w:rPr>
                <w:sz w:val="22"/>
                <w:szCs w:val="22"/>
              </w:rPr>
            </w:pPr>
            <w:r w:rsidRPr="009A390A">
              <w:rPr>
                <w:sz w:val="22"/>
                <w:szCs w:val="22"/>
              </w:rPr>
              <w:t>969,7</w:t>
            </w:r>
          </w:p>
        </w:tc>
        <w:tc>
          <w:tcPr>
            <w:tcW w:w="1200" w:type="dxa"/>
            <w:tcBorders>
              <w:top w:val="nil"/>
              <w:left w:val="nil"/>
              <w:bottom w:val="single" w:sz="4" w:space="0" w:color="auto"/>
              <w:right w:val="single" w:sz="4" w:space="0" w:color="auto"/>
            </w:tcBorders>
            <w:noWrap/>
            <w:vAlign w:val="bottom"/>
            <w:hideMark/>
          </w:tcPr>
          <w:p w14:paraId="138BB556" w14:textId="77777777" w:rsidR="00D81E0D" w:rsidRPr="009A390A" w:rsidRDefault="00D81E0D" w:rsidP="00D1607C">
            <w:pPr>
              <w:jc w:val="center"/>
              <w:rPr>
                <w:sz w:val="22"/>
                <w:szCs w:val="22"/>
              </w:rPr>
            </w:pPr>
            <w:r w:rsidRPr="009A390A">
              <w:rPr>
                <w:sz w:val="22"/>
                <w:szCs w:val="22"/>
              </w:rPr>
              <w:t>20,5</w:t>
            </w:r>
          </w:p>
        </w:tc>
        <w:tc>
          <w:tcPr>
            <w:tcW w:w="2100" w:type="dxa"/>
            <w:tcBorders>
              <w:top w:val="nil"/>
              <w:left w:val="nil"/>
              <w:bottom w:val="single" w:sz="4" w:space="0" w:color="auto"/>
              <w:right w:val="single" w:sz="4" w:space="0" w:color="auto"/>
            </w:tcBorders>
            <w:noWrap/>
            <w:vAlign w:val="bottom"/>
            <w:hideMark/>
          </w:tcPr>
          <w:p w14:paraId="71B87277" w14:textId="77777777" w:rsidR="00D81E0D" w:rsidRPr="009A390A" w:rsidRDefault="00D81E0D" w:rsidP="00D1607C">
            <w:pPr>
              <w:jc w:val="center"/>
              <w:rPr>
                <w:sz w:val="22"/>
                <w:szCs w:val="22"/>
              </w:rPr>
            </w:pPr>
            <w:r w:rsidRPr="009A390A">
              <w:rPr>
                <w:sz w:val="22"/>
                <w:szCs w:val="22"/>
              </w:rPr>
              <w:t>955,1</w:t>
            </w:r>
          </w:p>
        </w:tc>
        <w:tc>
          <w:tcPr>
            <w:tcW w:w="1134" w:type="dxa"/>
            <w:tcBorders>
              <w:top w:val="nil"/>
              <w:left w:val="nil"/>
              <w:bottom w:val="single" w:sz="4" w:space="0" w:color="auto"/>
              <w:right w:val="single" w:sz="4" w:space="0" w:color="auto"/>
            </w:tcBorders>
            <w:noWrap/>
            <w:vAlign w:val="bottom"/>
            <w:hideMark/>
          </w:tcPr>
          <w:p w14:paraId="4C0C3159" w14:textId="77777777" w:rsidR="00D81E0D" w:rsidRPr="009A390A" w:rsidRDefault="00D81E0D" w:rsidP="00D1607C">
            <w:pPr>
              <w:jc w:val="center"/>
              <w:rPr>
                <w:sz w:val="22"/>
                <w:szCs w:val="22"/>
              </w:rPr>
            </w:pPr>
            <w:r w:rsidRPr="009A390A">
              <w:rPr>
                <w:sz w:val="22"/>
                <w:szCs w:val="22"/>
              </w:rPr>
              <w:t>934,3</w:t>
            </w:r>
          </w:p>
        </w:tc>
        <w:tc>
          <w:tcPr>
            <w:tcW w:w="601" w:type="dxa"/>
            <w:tcBorders>
              <w:top w:val="nil"/>
              <w:left w:val="nil"/>
              <w:bottom w:val="single" w:sz="4" w:space="0" w:color="auto"/>
              <w:right w:val="single" w:sz="4" w:space="0" w:color="auto"/>
            </w:tcBorders>
            <w:noWrap/>
            <w:vAlign w:val="bottom"/>
            <w:hideMark/>
          </w:tcPr>
          <w:p w14:paraId="0ACDEF63" w14:textId="77777777" w:rsidR="00D81E0D" w:rsidRPr="009A390A" w:rsidRDefault="00D81E0D" w:rsidP="00D1607C">
            <w:pPr>
              <w:jc w:val="center"/>
              <w:rPr>
                <w:color w:val="000000"/>
                <w:sz w:val="22"/>
                <w:szCs w:val="22"/>
              </w:rPr>
            </w:pPr>
            <w:r w:rsidRPr="009A390A">
              <w:rPr>
                <w:color w:val="000000"/>
                <w:sz w:val="22"/>
                <w:szCs w:val="22"/>
              </w:rPr>
              <w:t>37,2</w:t>
            </w:r>
          </w:p>
        </w:tc>
        <w:tc>
          <w:tcPr>
            <w:tcW w:w="904" w:type="dxa"/>
            <w:tcBorders>
              <w:top w:val="nil"/>
              <w:left w:val="nil"/>
              <w:bottom w:val="single" w:sz="4" w:space="0" w:color="auto"/>
              <w:right w:val="single" w:sz="4" w:space="0" w:color="auto"/>
            </w:tcBorders>
            <w:noWrap/>
            <w:vAlign w:val="bottom"/>
            <w:hideMark/>
          </w:tcPr>
          <w:p w14:paraId="19656A74" w14:textId="77777777" w:rsidR="00D81E0D" w:rsidRPr="009A390A" w:rsidRDefault="00D81E0D" w:rsidP="00D1607C">
            <w:pPr>
              <w:jc w:val="center"/>
              <w:rPr>
                <w:color w:val="000000"/>
                <w:sz w:val="22"/>
                <w:szCs w:val="22"/>
              </w:rPr>
            </w:pPr>
            <w:r w:rsidRPr="009A390A">
              <w:rPr>
                <w:color w:val="000000"/>
                <w:sz w:val="22"/>
                <w:szCs w:val="22"/>
              </w:rPr>
              <w:t>897,1</w:t>
            </w:r>
          </w:p>
        </w:tc>
      </w:tr>
      <w:tr w:rsidR="00D81E0D" w:rsidRPr="009A390A" w14:paraId="49A26C09" w14:textId="77777777" w:rsidTr="00D1607C">
        <w:trPr>
          <w:gridAfter w:val="1"/>
          <w:wAfter w:w="9" w:type="dxa"/>
          <w:trHeight w:val="315"/>
        </w:trPr>
        <w:tc>
          <w:tcPr>
            <w:tcW w:w="1129" w:type="dxa"/>
            <w:tcBorders>
              <w:top w:val="nil"/>
              <w:left w:val="single" w:sz="4" w:space="0" w:color="auto"/>
              <w:bottom w:val="single" w:sz="4" w:space="0" w:color="auto"/>
              <w:right w:val="single" w:sz="4" w:space="0" w:color="auto"/>
            </w:tcBorders>
            <w:noWrap/>
            <w:vAlign w:val="bottom"/>
            <w:hideMark/>
          </w:tcPr>
          <w:p w14:paraId="5667E826" w14:textId="77777777" w:rsidR="00D81E0D" w:rsidRPr="009A390A" w:rsidRDefault="00D81E0D" w:rsidP="00D1607C">
            <w:pPr>
              <w:rPr>
                <w:sz w:val="22"/>
                <w:szCs w:val="22"/>
              </w:rPr>
            </w:pPr>
            <w:r w:rsidRPr="009A390A">
              <w:rPr>
                <w:sz w:val="22"/>
                <w:szCs w:val="22"/>
              </w:rPr>
              <w:t>2022 m.</w:t>
            </w:r>
          </w:p>
        </w:tc>
        <w:tc>
          <w:tcPr>
            <w:tcW w:w="1162" w:type="dxa"/>
            <w:tcBorders>
              <w:top w:val="nil"/>
              <w:left w:val="nil"/>
              <w:bottom w:val="single" w:sz="4" w:space="0" w:color="auto"/>
              <w:right w:val="single" w:sz="4" w:space="0" w:color="auto"/>
            </w:tcBorders>
            <w:noWrap/>
            <w:vAlign w:val="bottom"/>
            <w:hideMark/>
          </w:tcPr>
          <w:p w14:paraId="6B41E7B9" w14:textId="77777777" w:rsidR="00D81E0D" w:rsidRPr="009A390A" w:rsidRDefault="00D81E0D" w:rsidP="00D1607C">
            <w:pPr>
              <w:jc w:val="center"/>
              <w:rPr>
                <w:sz w:val="22"/>
                <w:szCs w:val="22"/>
              </w:rPr>
            </w:pPr>
            <w:r w:rsidRPr="009A390A">
              <w:rPr>
                <w:sz w:val="22"/>
                <w:szCs w:val="22"/>
              </w:rPr>
              <w:t>1009</w:t>
            </w:r>
          </w:p>
        </w:tc>
        <w:tc>
          <w:tcPr>
            <w:tcW w:w="1377" w:type="dxa"/>
            <w:tcBorders>
              <w:top w:val="nil"/>
              <w:left w:val="nil"/>
              <w:bottom w:val="single" w:sz="4" w:space="0" w:color="auto"/>
              <w:right w:val="single" w:sz="4" w:space="0" w:color="auto"/>
            </w:tcBorders>
            <w:noWrap/>
            <w:vAlign w:val="bottom"/>
            <w:hideMark/>
          </w:tcPr>
          <w:p w14:paraId="5A638FF4" w14:textId="77777777" w:rsidR="00D81E0D" w:rsidRPr="009A390A" w:rsidRDefault="00D81E0D" w:rsidP="00D1607C">
            <w:pPr>
              <w:jc w:val="center"/>
              <w:rPr>
                <w:sz w:val="22"/>
                <w:szCs w:val="22"/>
              </w:rPr>
            </w:pPr>
            <w:r w:rsidRPr="009A390A">
              <w:rPr>
                <w:sz w:val="22"/>
                <w:szCs w:val="22"/>
              </w:rPr>
              <w:t>1301,8</w:t>
            </w:r>
          </w:p>
        </w:tc>
        <w:tc>
          <w:tcPr>
            <w:tcW w:w="1200" w:type="dxa"/>
            <w:tcBorders>
              <w:top w:val="nil"/>
              <w:left w:val="nil"/>
              <w:bottom w:val="single" w:sz="4" w:space="0" w:color="auto"/>
              <w:right w:val="single" w:sz="4" w:space="0" w:color="auto"/>
            </w:tcBorders>
            <w:noWrap/>
            <w:vAlign w:val="bottom"/>
            <w:hideMark/>
          </w:tcPr>
          <w:p w14:paraId="38966546" w14:textId="77777777" w:rsidR="00D81E0D" w:rsidRPr="009A390A" w:rsidRDefault="00D81E0D" w:rsidP="00D1607C">
            <w:pPr>
              <w:jc w:val="center"/>
              <w:rPr>
                <w:sz w:val="22"/>
                <w:szCs w:val="22"/>
              </w:rPr>
            </w:pPr>
            <w:r w:rsidRPr="009A390A">
              <w:rPr>
                <w:sz w:val="22"/>
                <w:szCs w:val="22"/>
              </w:rPr>
              <w:t>2,7</w:t>
            </w:r>
          </w:p>
        </w:tc>
        <w:tc>
          <w:tcPr>
            <w:tcW w:w="2100" w:type="dxa"/>
            <w:tcBorders>
              <w:top w:val="nil"/>
              <w:left w:val="nil"/>
              <w:bottom w:val="single" w:sz="4" w:space="0" w:color="auto"/>
              <w:right w:val="single" w:sz="4" w:space="0" w:color="auto"/>
            </w:tcBorders>
            <w:noWrap/>
            <w:vAlign w:val="bottom"/>
            <w:hideMark/>
          </w:tcPr>
          <w:p w14:paraId="7CB7FBE7" w14:textId="77777777" w:rsidR="00D81E0D" w:rsidRPr="009A390A" w:rsidRDefault="00D81E0D" w:rsidP="00D1607C">
            <w:pPr>
              <w:jc w:val="center"/>
              <w:rPr>
                <w:sz w:val="22"/>
                <w:szCs w:val="22"/>
              </w:rPr>
            </w:pPr>
            <w:r w:rsidRPr="009A390A">
              <w:rPr>
                <w:sz w:val="22"/>
                <w:szCs w:val="22"/>
              </w:rPr>
              <w:t>1301,8</w:t>
            </w:r>
          </w:p>
        </w:tc>
        <w:tc>
          <w:tcPr>
            <w:tcW w:w="1134" w:type="dxa"/>
            <w:tcBorders>
              <w:top w:val="nil"/>
              <w:left w:val="nil"/>
              <w:bottom w:val="single" w:sz="4" w:space="0" w:color="auto"/>
              <w:right w:val="single" w:sz="4" w:space="0" w:color="auto"/>
            </w:tcBorders>
            <w:noWrap/>
            <w:vAlign w:val="bottom"/>
            <w:hideMark/>
          </w:tcPr>
          <w:p w14:paraId="3947C614" w14:textId="77777777" w:rsidR="00D81E0D" w:rsidRPr="009A390A" w:rsidRDefault="00D81E0D" w:rsidP="00D1607C">
            <w:pPr>
              <w:jc w:val="center"/>
              <w:rPr>
                <w:sz w:val="22"/>
                <w:szCs w:val="22"/>
              </w:rPr>
            </w:pPr>
            <w:r w:rsidRPr="009A390A">
              <w:rPr>
                <w:sz w:val="22"/>
                <w:szCs w:val="22"/>
              </w:rPr>
              <w:t>1145,3</w:t>
            </w:r>
          </w:p>
        </w:tc>
        <w:tc>
          <w:tcPr>
            <w:tcW w:w="601" w:type="dxa"/>
            <w:tcBorders>
              <w:top w:val="nil"/>
              <w:left w:val="nil"/>
              <w:bottom w:val="single" w:sz="4" w:space="0" w:color="auto"/>
              <w:right w:val="single" w:sz="4" w:space="0" w:color="auto"/>
            </w:tcBorders>
            <w:noWrap/>
            <w:vAlign w:val="bottom"/>
            <w:hideMark/>
          </w:tcPr>
          <w:p w14:paraId="1186BC2B" w14:textId="77777777" w:rsidR="00D81E0D" w:rsidRPr="009A390A" w:rsidRDefault="00D81E0D" w:rsidP="00D1607C">
            <w:pPr>
              <w:jc w:val="center"/>
              <w:rPr>
                <w:color w:val="000000"/>
                <w:sz w:val="22"/>
                <w:szCs w:val="22"/>
              </w:rPr>
            </w:pPr>
            <w:r w:rsidRPr="009A390A">
              <w:rPr>
                <w:color w:val="000000"/>
                <w:sz w:val="22"/>
                <w:szCs w:val="22"/>
              </w:rPr>
              <w:t>42,9</w:t>
            </w:r>
          </w:p>
        </w:tc>
        <w:tc>
          <w:tcPr>
            <w:tcW w:w="904" w:type="dxa"/>
            <w:tcBorders>
              <w:top w:val="nil"/>
              <w:left w:val="nil"/>
              <w:bottom w:val="single" w:sz="4" w:space="0" w:color="auto"/>
              <w:right w:val="single" w:sz="4" w:space="0" w:color="auto"/>
            </w:tcBorders>
            <w:noWrap/>
            <w:vAlign w:val="bottom"/>
            <w:hideMark/>
          </w:tcPr>
          <w:p w14:paraId="78ED7B5C" w14:textId="77777777" w:rsidR="00D81E0D" w:rsidRPr="009A390A" w:rsidRDefault="00D81E0D" w:rsidP="00D1607C">
            <w:pPr>
              <w:jc w:val="center"/>
              <w:rPr>
                <w:color w:val="000000"/>
                <w:sz w:val="22"/>
                <w:szCs w:val="22"/>
              </w:rPr>
            </w:pPr>
            <w:r w:rsidRPr="009A390A">
              <w:rPr>
                <w:color w:val="000000"/>
                <w:sz w:val="22"/>
                <w:szCs w:val="22"/>
              </w:rPr>
              <w:t>1102,4</w:t>
            </w:r>
          </w:p>
        </w:tc>
      </w:tr>
      <w:tr w:rsidR="00D81E0D" w:rsidRPr="009A390A" w14:paraId="673A7109" w14:textId="77777777" w:rsidTr="00D1607C">
        <w:trPr>
          <w:gridAfter w:val="1"/>
          <w:wAfter w:w="9" w:type="dxa"/>
          <w:trHeight w:val="315"/>
        </w:trPr>
        <w:tc>
          <w:tcPr>
            <w:tcW w:w="1129" w:type="dxa"/>
            <w:tcBorders>
              <w:top w:val="nil"/>
              <w:left w:val="single" w:sz="4" w:space="0" w:color="auto"/>
              <w:bottom w:val="single" w:sz="4" w:space="0" w:color="auto"/>
              <w:right w:val="single" w:sz="4" w:space="0" w:color="auto"/>
            </w:tcBorders>
            <w:noWrap/>
            <w:vAlign w:val="bottom"/>
            <w:hideMark/>
          </w:tcPr>
          <w:p w14:paraId="77177998" w14:textId="77777777" w:rsidR="00D81E0D" w:rsidRPr="009A390A" w:rsidRDefault="00D81E0D" w:rsidP="00D1607C">
            <w:pPr>
              <w:rPr>
                <w:color w:val="000000"/>
                <w:sz w:val="22"/>
                <w:szCs w:val="22"/>
              </w:rPr>
            </w:pPr>
            <w:r w:rsidRPr="009A390A">
              <w:rPr>
                <w:color w:val="000000"/>
                <w:sz w:val="22"/>
                <w:szCs w:val="22"/>
              </w:rPr>
              <w:t>2023 m.</w:t>
            </w:r>
          </w:p>
        </w:tc>
        <w:tc>
          <w:tcPr>
            <w:tcW w:w="1162" w:type="dxa"/>
            <w:tcBorders>
              <w:top w:val="nil"/>
              <w:left w:val="nil"/>
              <w:bottom w:val="single" w:sz="4" w:space="0" w:color="auto"/>
              <w:right w:val="single" w:sz="4" w:space="0" w:color="auto"/>
            </w:tcBorders>
            <w:noWrap/>
            <w:vAlign w:val="bottom"/>
            <w:hideMark/>
          </w:tcPr>
          <w:p w14:paraId="5AA0C4BD" w14:textId="77777777" w:rsidR="00D81E0D" w:rsidRPr="009A390A" w:rsidRDefault="00D81E0D" w:rsidP="00D1607C">
            <w:pPr>
              <w:jc w:val="center"/>
              <w:rPr>
                <w:color w:val="000000"/>
                <w:sz w:val="22"/>
                <w:szCs w:val="22"/>
              </w:rPr>
            </w:pPr>
            <w:r w:rsidRPr="009A390A">
              <w:rPr>
                <w:color w:val="000000"/>
                <w:sz w:val="22"/>
                <w:szCs w:val="22"/>
              </w:rPr>
              <w:t>1043</w:t>
            </w:r>
          </w:p>
        </w:tc>
        <w:tc>
          <w:tcPr>
            <w:tcW w:w="1377" w:type="dxa"/>
            <w:tcBorders>
              <w:top w:val="nil"/>
              <w:left w:val="nil"/>
              <w:bottom w:val="single" w:sz="4" w:space="0" w:color="auto"/>
              <w:right w:val="single" w:sz="4" w:space="0" w:color="auto"/>
            </w:tcBorders>
            <w:noWrap/>
            <w:vAlign w:val="bottom"/>
            <w:hideMark/>
          </w:tcPr>
          <w:p w14:paraId="64A85EB3" w14:textId="77777777" w:rsidR="00D81E0D" w:rsidRPr="009A390A" w:rsidRDefault="00D81E0D" w:rsidP="00D1607C">
            <w:pPr>
              <w:jc w:val="center"/>
              <w:rPr>
                <w:color w:val="000000"/>
                <w:sz w:val="22"/>
                <w:szCs w:val="22"/>
              </w:rPr>
            </w:pPr>
            <w:r w:rsidRPr="009A390A">
              <w:rPr>
                <w:color w:val="000000"/>
                <w:sz w:val="22"/>
                <w:szCs w:val="22"/>
              </w:rPr>
              <w:t>1399,9</w:t>
            </w:r>
          </w:p>
        </w:tc>
        <w:tc>
          <w:tcPr>
            <w:tcW w:w="1200" w:type="dxa"/>
            <w:tcBorders>
              <w:top w:val="nil"/>
              <w:left w:val="nil"/>
              <w:bottom w:val="single" w:sz="4" w:space="0" w:color="auto"/>
              <w:right w:val="single" w:sz="4" w:space="0" w:color="auto"/>
            </w:tcBorders>
            <w:noWrap/>
            <w:vAlign w:val="bottom"/>
            <w:hideMark/>
          </w:tcPr>
          <w:p w14:paraId="2A45E347" w14:textId="77777777" w:rsidR="00D81E0D" w:rsidRPr="009A390A" w:rsidRDefault="00D81E0D" w:rsidP="00D1607C">
            <w:pPr>
              <w:jc w:val="center"/>
              <w:rPr>
                <w:color w:val="000000"/>
                <w:sz w:val="22"/>
                <w:szCs w:val="22"/>
              </w:rPr>
            </w:pPr>
            <w:r w:rsidRPr="009A390A">
              <w:rPr>
                <w:color w:val="000000"/>
                <w:sz w:val="22"/>
                <w:szCs w:val="22"/>
              </w:rPr>
              <w:t>0,08</w:t>
            </w:r>
          </w:p>
        </w:tc>
        <w:tc>
          <w:tcPr>
            <w:tcW w:w="2100" w:type="dxa"/>
            <w:tcBorders>
              <w:top w:val="nil"/>
              <w:left w:val="nil"/>
              <w:bottom w:val="single" w:sz="4" w:space="0" w:color="auto"/>
              <w:right w:val="single" w:sz="4" w:space="0" w:color="auto"/>
            </w:tcBorders>
            <w:noWrap/>
            <w:vAlign w:val="bottom"/>
            <w:hideMark/>
          </w:tcPr>
          <w:p w14:paraId="562CE3FF" w14:textId="77777777" w:rsidR="00D81E0D" w:rsidRPr="009A390A" w:rsidRDefault="00D81E0D" w:rsidP="00D1607C">
            <w:pPr>
              <w:jc w:val="center"/>
              <w:rPr>
                <w:color w:val="000000"/>
                <w:sz w:val="22"/>
                <w:szCs w:val="22"/>
              </w:rPr>
            </w:pPr>
            <w:r w:rsidRPr="009A390A">
              <w:rPr>
                <w:color w:val="000000"/>
                <w:sz w:val="22"/>
                <w:szCs w:val="22"/>
              </w:rPr>
              <w:t>1399,8</w:t>
            </w:r>
          </w:p>
        </w:tc>
        <w:tc>
          <w:tcPr>
            <w:tcW w:w="1134" w:type="dxa"/>
            <w:tcBorders>
              <w:top w:val="nil"/>
              <w:left w:val="nil"/>
              <w:bottom w:val="single" w:sz="4" w:space="0" w:color="auto"/>
              <w:right w:val="single" w:sz="4" w:space="0" w:color="auto"/>
            </w:tcBorders>
            <w:noWrap/>
            <w:vAlign w:val="bottom"/>
            <w:hideMark/>
          </w:tcPr>
          <w:p w14:paraId="1333993D" w14:textId="77777777" w:rsidR="00D81E0D" w:rsidRPr="009A390A" w:rsidRDefault="00D81E0D" w:rsidP="00D1607C">
            <w:pPr>
              <w:jc w:val="center"/>
              <w:rPr>
                <w:color w:val="000000"/>
                <w:sz w:val="22"/>
                <w:szCs w:val="22"/>
              </w:rPr>
            </w:pPr>
            <w:r w:rsidRPr="009A390A">
              <w:rPr>
                <w:color w:val="000000"/>
                <w:sz w:val="22"/>
                <w:szCs w:val="22"/>
              </w:rPr>
              <w:t>1555,4</w:t>
            </w:r>
          </w:p>
        </w:tc>
        <w:tc>
          <w:tcPr>
            <w:tcW w:w="601" w:type="dxa"/>
            <w:tcBorders>
              <w:top w:val="nil"/>
              <w:left w:val="nil"/>
              <w:bottom w:val="single" w:sz="4" w:space="0" w:color="auto"/>
              <w:right w:val="single" w:sz="4" w:space="0" w:color="auto"/>
            </w:tcBorders>
            <w:noWrap/>
            <w:vAlign w:val="bottom"/>
            <w:hideMark/>
          </w:tcPr>
          <w:p w14:paraId="3D8A6658" w14:textId="77777777" w:rsidR="00D81E0D" w:rsidRPr="009A390A" w:rsidRDefault="00D81E0D" w:rsidP="00D1607C">
            <w:pPr>
              <w:jc w:val="center"/>
              <w:rPr>
                <w:color w:val="000000"/>
                <w:sz w:val="22"/>
                <w:szCs w:val="22"/>
              </w:rPr>
            </w:pPr>
            <w:r w:rsidRPr="009A390A">
              <w:rPr>
                <w:color w:val="000000"/>
                <w:sz w:val="22"/>
                <w:szCs w:val="22"/>
              </w:rPr>
              <w:t>44,8</w:t>
            </w:r>
          </w:p>
        </w:tc>
        <w:tc>
          <w:tcPr>
            <w:tcW w:w="904" w:type="dxa"/>
            <w:tcBorders>
              <w:top w:val="nil"/>
              <w:left w:val="nil"/>
              <w:bottom w:val="single" w:sz="4" w:space="0" w:color="auto"/>
              <w:right w:val="single" w:sz="4" w:space="0" w:color="auto"/>
            </w:tcBorders>
            <w:noWrap/>
            <w:vAlign w:val="bottom"/>
            <w:hideMark/>
          </w:tcPr>
          <w:p w14:paraId="018505C1" w14:textId="77777777" w:rsidR="00D81E0D" w:rsidRPr="009A390A" w:rsidRDefault="00D81E0D" w:rsidP="00D1607C">
            <w:pPr>
              <w:jc w:val="center"/>
              <w:rPr>
                <w:color w:val="000000"/>
                <w:sz w:val="22"/>
                <w:szCs w:val="22"/>
              </w:rPr>
            </w:pPr>
            <w:r w:rsidRPr="009A390A">
              <w:rPr>
                <w:color w:val="000000"/>
                <w:sz w:val="22"/>
                <w:szCs w:val="22"/>
              </w:rPr>
              <w:t>1510,6</w:t>
            </w:r>
          </w:p>
        </w:tc>
      </w:tr>
      <w:tr w:rsidR="00D81E0D" w:rsidRPr="009A390A" w14:paraId="581A1280" w14:textId="77777777" w:rsidTr="00D1607C">
        <w:trPr>
          <w:gridAfter w:val="1"/>
          <w:wAfter w:w="9" w:type="dxa"/>
          <w:trHeight w:val="270"/>
        </w:trPr>
        <w:tc>
          <w:tcPr>
            <w:tcW w:w="1129" w:type="dxa"/>
            <w:tcBorders>
              <w:top w:val="nil"/>
              <w:left w:val="single" w:sz="4" w:space="0" w:color="auto"/>
              <w:bottom w:val="single" w:sz="4" w:space="0" w:color="auto"/>
              <w:right w:val="single" w:sz="4" w:space="0" w:color="auto"/>
            </w:tcBorders>
            <w:noWrap/>
            <w:vAlign w:val="bottom"/>
            <w:hideMark/>
          </w:tcPr>
          <w:p w14:paraId="480F61C1" w14:textId="77777777" w:rsidR="00D81E0D" w:rsidRPr="009A390A" w:rsidRDefault="00D81E0D" w:rsidP="00D1607C">
            <w:pPr>
              <w:rPr>
                <w:color w:val="000000"/>
                <w:sz w:val="22"/>
                <w:szCs w:val="22"/>
              </w:rPr>
            </w:pPr>
            <w:r w:rsidRPr="009A390A">
              <w:rPr>
                <w:color w:val="000000"/>
                <w:sz w:val="22"/>
                <w:szCs w:val="22"/>
              </w:rPr>
              <w:t>2024 m.</w:t>
            </w:r>
          </w:p>
        </w:tc>
        <w:tc>
          <w:tcPr>
            <w:tcW w:w="1162" w:type="dxa"/>
            <w:tcBorders>
              <w:top w:val="nil"/>
              <w:left w:val="nil"/>
              <w:bottom w:val="single" w:sz="4" w:space="0" w:color="auto"/>
              <w:right w:val="single" w:sz="4" w:space="0" w:color="auto"/>
            </w:tcBorders>
            <w:noWrap/>
            <w:vAlign w:val="bottom"/>
            <w:hideMark/>
          </w:tcPr>
          <w:p w14:paraId="1125F53E" w14:textId="77777777" w:rsidR="00D81E0D" w:rsidRPr="009A390A" w:rsidRDefault="00D81E0D" w:rsidP="00D1607C">
            <w:pPr>
              <w:jc w:val="center"/>
              <w:rPr>
                <w:color w:val="000000"/>
                <w:sz w:val="22"/>
                <w:szCs w:val="22"/>
              </w:rPr>
            </w:pPr>
            <w:r w:rsidRPr="009A390A">
              <w:rPr>
                <w:color w:val="000000"/>
                <w:sz w:val="22"/>
                <w:szCs w:val="22"/>
              </w:rPr>
              <w:t>982</w:t>
            </w:r>
          </w:p>
        </w:tc>
        <w:tc>
          <w:tcPr>
            <w:tcW w:w="1377" w:type="dxa"/>
            <w:tcBorders>
              <w:top w:val="nil"/>
              <w:left w:val="nil"/>
              <w:bottom w:val="single" w:sz="4" w:space="0" w:color="auto"/>
              <w:right w:val="single" w:sz="4" w:space="0" w:color="auto"/>
            </w:tcBorders>
            <w:noWrap/>
            <w:vAlign w:val="bottom"/>
            <w:hideMark/>
          </w:tcPr>
          <w:p w14:paraId="783E13FA" w14:textId="77777777" w:rsidR="00D81E0D" w:rsidRPr="009A390A" w:rsidRDefault="00D81E0D" w:rsidP="00D1607C">
            <w:pPr>
              <w:jc w:val="center"/>
              <w:rPr>
                <w:color w:val="000000"/>
                <w:sz w:val="22"/>
                <w:szCs w:val="22"/>
              </w:rPr>
            </w:pPr>
            <w:r w:rsidRPr="009A390A">
              <w:rPr>
                <w:color w:val="000000"/>
                <w:sz w:val="22"/>
                <w:szCs w:val="22"/>
              </w:rPr>
              <w:t>1526,6</w:t>
            </w:r>
          </w:p>
        </w:tc>
        <w:tc>
          <w:tcPr>
            <w:tcW w:w="1200" w:type="dxa"/>
            <w:tcBorders>
              <w:top w:val="nil"/>
              <w:left w:val="nil"/>
              <w:bottom w:val="single" w:sz="4" w:space="0" w:color="auto"/>
              <w:right w:val="single" w:sz="4" w:space="0" w:color="auto"/>
            </w:tcBorders>
            <w:noWrap/>
            <w:vAlign w:val="bottom"/>
            <w:hideMark/>
          </w:tcPr>
          <w:p w14:paraId="00915077" w14:textId="77777777" w:rsidR="00D81E0D" w:rsidRPr="009A390A" w:rsidRDefault="00D81E0D" w:rsidP="00D1607C">
            <w:pPr>
              <w:jc w:val="center"/>
              <w:rPr>
                <w:color w:val="000000"/>
                <w:sz w:val="22"/>
                <w:szCs w:val="22"/>
              </w:rPr>
            </w:pPr>
            <w:r w:rsidRPr="009A390A">
              <w:rPr>
                <w:color w:val="000000"/>
                <w:sz w:val="22"/>
                <w:szCs w:val="22"/>
              </w:rPr>
              <w:t>0,0</w:t>
            </w:r>
          </w:p>
        </w:tc>
        <w:tc>
          <w:tcPr>
            <w:tcW w:w="2100" w:type="dxa"/>
            <w:tcBorders>
              <w:top w:val="nil"/>
              <w:left w:val="nil"/>
              <w:bottom w:val="single" w:sz="4" w:space="0" w:color="auto"/>
              <w:right w:val="single" w:sz="4" w:space="0" w:color="auto"/>
            </w:tcBorders>
            <w:noWrap/>
            <w:vAlign w:val="bottom"/>
            <w:hideMark/>
          </w:tcPr>
          <w:p w14:paraId="61C89568" w14:textId="77777777" w:rsidR="00D81E0D" w:rsidRPr="009A390A" w:rsidRDefault="00D81E0D" w:rsidP="00D1607C">
            <w:pPr>
              <w:jc w:val="center"/>
              <w:rPr>
                <w:color w:val="000000"/>
                <w:sz w:val="22"/>
                <w:szCs w:val="22"/>
              </w:rPr>
            </w:pPr>
            <w:r w:rsidRPr="009A390A">
              <w:rPr>
                <w:color w:val="000000"/>
                <w:sz w:val="22"/>
                <w:szCs w:val="22"/>
              </w:rPr>
              <w:t>1526,6</w:t>
            </w:r>
          </w:p>
        </w:tc>
        <w:tc>
          <w:tcPr>
            <w:tcW w:w="1134" w:type="dxa"/>
            <w:tcBorders>
              <w:top w:val="nil"/>
              <w:left w:val="nil"/>
              <w:bottom w:val="single" w:sz="4" w:space="0" w:color="auto"/>
              <w:right w:val="single" w:sz="4" w:space="0" w:color="auto"/>
            </w:tcBorders>
            <w:noWrap/>
            <w:vAlign w:val="bottom"/>
            <w:hideMark/>
          </w:tcPr>
          <w:p w14:paraId="6718AF1D" w14:textId="77777777" w:rsidR="00D81E0D" w:rsidRPr="009A390A" w:rsidRDefault="00D81E0D" w:rsidP="00D1607C">
            <w:pPr>
              <w:jc w:val="center"/>
              <w:rPr>
                <w:color w:val="000000"/>
                <w:sz w:val="22"/>
                <w:szCs w:val="22"/>
              </w:rPr>
            </w:pPr>
            <w:r w:rsidRPr="009A390A">
              <w:rPr>
                <w:color w:val="000000"/>
                <w:sz w:val="22"/>
                <w:szCs w:val="22"/>
              </w:rPr>
              <w:t>1419,9</w:t>
            </w:r>
          </w:p>
        </w:tc>
        <w:tc>
          <w:tcPr>
            <w:tcW w:w="601" w:type="dxa"/>
            <w:tcBorders>
              <w:top w:val="nil"/>
              <w:left w:val="nil"/>
              <w:bottom w:val="single" w:sz="4" w:space="0" w:color="auto"/>
              <w:right w:val="single" w:sz="4" w:space="0" w:color="auto"/>
            </w:tcBorders>
            <w:noWrap/>
            <w:vAlign w:val="bottom"/>
            <w:hideMark/>
          </w:tcPr>
          <w:p w14:paraId="3902EC43" w14:textId="77777777" w:rsidR="00D81E0D" w:rsidRPr="009A390A" w:rsidRDefault="00D81E0D" w:rsidP="00D1607C">
            <w:pPr>
              <w:jc w:val="center"/>
              <w:rPr>
                <w:color w:val="000000"/>
                <w:sz w:val="22"/>
                <w:szCs w:val="22"/>
              </w:rPr>
            </w:pPr>
            <w:r w:rsidRPr="009A390A">
              <w:rPr>
                <w:color w:val="000000"/>
                <w:sz w:val="22"/>
                <w:szCs w:val="22"/>
              </w:rPr>
              <w:t>54,0</w:t>
            </w:r>
          </w:p>
        </w:tc>
        <w:tc>
          <w:tcPr>
            <w:tcW w:w="904" w:type="dxa"/>
            <w:tcBorders>
              <w:top w:val="nil"/>
              <w:left w:val="nil"/>
              <w:bottom w:val="single" w:sz="4" w:space="0" w:color="auto"/>
              <w:right w:val="single" w:sz="4" w:space="0" w:color="auto"/>
            </w:tcBorders>
            <w:noWrap/>
            <w:vAlign w:val="bottom"/>
            <w:hideMark/>
          </w:tcPr>
          <w:p w14:paraId="402EA26D" w14:textId="77777777" w:rsidR="00D81E0D" w:rsidRPr="009A390A" w:rsidRDefault="00D81E0D" w:rsidP="00D1607C">
            <w:pPr>
              <w:jc w:val="center"/>
              <w:rPr>
                <w:color w:val="000000"/>
                <w:sz w:val="22"/>
                <w:szCs w:val="22"/>
              </w:rPr>
            </w:pPr>
            <w:r w:rsidRPr="009A390A">
              <w:rPr>
                <w:color w:val="000000"/>
                <w:sz w:val="22"/>
                <w:szCs w:val="22"/>
              </w:rPr>
              <w:t>1365,9</w:t>
            </w:r>
          </w:p>
        </w:tc>
      </w:tr>
    </w:tbl>
    <w:p w14:paraId="1F9F30A1" w14:textId="26E959F0" w:rsidR="00A25947" w:rsidRPr="009A390A" w:rsidRDefault="00A25947" w:rsidP="00852E17">
      <w:pPr>
        <w:ind w:right="-1" w:firstLine="993"/>
        <w:jc w:val="both"/>
        <w:rPr>
          <w:b/>
        </w:rPr>
      </w:pPr>
      <w:r w:rsidRPr="009A390A">
        <w:rPr>
          <w:b/>
        </w:rPr>
        <w:t>6. Teisės akto projekto antikorupcinio vertinimo išvada dėl sprendimo projekto teikimo antikorupciniam vertinimui.</w:t>
      </w:r>
    </w:p>
    <w:p w14:paraId="391945B0" w14:textId="7D55314F" w:rsidR="00A25947" w:rsidRPr="009A390A" w:rsidRDefault="007843D6" w:rsidP="00852E17">
      <w:pPr>
        <w:ind w:right="-1" w:firstLine="993"/>
        <w:jc w:val="both"/>
        <w:rPr>
          <w:rFonts w:eastAsia="Calibri"/>
          <w:lang w:eastAsia="en-US"/>
        </w:rPr>
      </w:pPr>
      <w:r w:rsidRPr="009A390A">
        <w:t>Teisės akto projektas antikorupciniam vertinimui neteikiamas</w:t>
      </w:r>
      <w:r w:rsidR="00A25947" w:rsidRPr="009A390A">
        <w:rPr>
          <w:rFonts w:eastAsia="Calibri"/>
          <w:lang w:eastAsia="en-US"/>
        </w:rPr>
        <w:t>.</w:t>
      </w:r>
    </w:p>
    <w:p w14:paraId="1993496E" w14:textId="77777777" w:rsidR="00A25947" w:rsidRPr="009A390A" w:rsidRDefault="00A25947" w:rsidP="00852E17">
      <w:pPr>
        <w:ind w:firstLine="993"/>
        <w:jc w:val="both"/>
        <w:rPr>
          <w:b/>
        </w:rPr>
      </w:pPr>
      <w:r w:rsidRPr="009A390A">
        <w:rPr>
          <w:b/>
        </w:rPr>
        <w:t>7. Autorius ar autorių grupė.</w:t>
      </w:r>
    </w:p>
    <w:p w14:paraId="58EDA95D" w14:textId="1F7EECDA" w:rsidR="004E5A6D" w:rsidRPr="009A390A" w:rsidRDefault="00A25947" w:rsidP="00852E17">
      <w:pPr>
        <w:ind w:right="-1" w:firstLine="993"/>
        <w:jc w:val="both"/>
      </w:pPr>
      <w:r w:rsidRPr="009C4857">
        <w:rPr>
          <w:rFonts w:eastAsia="Calibri"/>
          <w:lang w:eastAsia="en-US"/>
        </w:rPr>
        <w:t>Ekonomikos ir biudžeto skyriaus vedėja Alma Rumbutienė</w:t>
      </w:r>
      <w:r w:rsidR="00356BAC" w:rsidRPr="009C4857">
        <w:rPr>
          <w:rFonts w:eastAsia="Calibri"/>
          <w:lang w:eastAsia="en-US"/>
        </w:rPr>
        <w:t>, Darbo grupė fiksuotų pajamų mokesčio dydžių, taikomų įsigyjant verslo liudijimus, ir nekilnojamojo turto mokesč</w:t>
      </w:r>
      <w:r w:rsidR="009A390A">
        <w:rPr>
          <w:rFonts w:eastAsia="Calibri"/>
          <w:lang w:eastAsia="en-US"/>
        </w:rPr>
        <w:t>i</w:t>
      </w:r>
      <w:r w:rsidR="00356BAC" w:rsidRPr="009C4857">
        <w:rPr>
          <w:rFonts w:eastAsia="Calibri"/>
          <w:lang w:eastAsia="en-US"/>
        </w:rPr>
        <w:t>o tarifams nustatyti.</w:t>
      </w:r>
      <w:r w:rsidRPr="009C4857">
        <w:rPr>
          <w:rFonts w:eastAsia="Calibri"/>
          <w:lang w:eastAsia="en-US"/>
        </w:rPr>
        <w:t xml:space="preserve"> </w:t>
      </w:r>
    </w:p>
    <w:sectPr w:rsidR="004E5A6D" w:rsidRPr="009A390A" w:rsidSect="00A25947">
      <w:headerReference w:type="firs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6C75" w14:textId="77777777" w:rsidR="00A10020" w:rsidRDefault="00A10020">
      <w:r>
        <w:separator/>
      </w:r>
    </w:p>
  </w:endnote>
  <w:endnote w:type="continuationSeparator" w:id="0">
    <w:p w14:paraId="568C4DB8" w14:textId="77777777" w:rsidR="00A10020" w:rsidRDefault="00A1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9512" w14:textId="77777777" w:rsidR="00A10020" w:rsidRDefault="00A10020">
      <w:r>
        <w:separator/>
      </w:r>
    </w:p>
  </w:footnote>
  <w:footnote w:type="continuationSeparator" w:id="0">
    <w:p w14:paraId="10DEB74F" w14:textId="77777777" w:rsidR="00A10020" w:rsidRDefault="00A10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BC17" w14:textId="77777777" w:rsidR="00A25947" w:rsidRPr="00543470" w:rsidRDefault="00A25947" w:rsidP="00DB0420">
    <w:pPr>
      <w:pStyle w:val="Antrats"/>
      <w:jc w:val="right"/>
      <w:rPr>
        <w:rStyle w:val="Nerykuspabraukimas"/>
        <w:b/>
        <w:i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47"/>
    <w:rsid w:val="000A74CE"/>
    <w:rsid w:val="002E30E8"/>
    <w:rsid w:val="00356BAC"/>
    <w:rsid w:val="0035766B"/>
    <w:rsid w:val="00452575"/>
    <w:rsid w:val="004E4AF5"/>
    <w:rsid w:val="004E5A6D"/>
    <w:rsid w:val="004F1695"/>
    <w:rsid w:val="00550934"/>
    <w:rsid w:val="005823EB"/>
    <w:rsid w:val="005B5BAB"/>
    <w:rsid w:val="005C4A31"/>
    <w:rsid w:val="00610232"/>
    <w:rsid w:val="006B7437"/>
    <w:rsid w:val="00756EA1"/>
    <w:rsid w:val="007843D6"/>
    <w:rsid w:val="007A745C"/>
    <w:rsid w:val="00827E05"/>
    <w:rsid w:val="00852E17"/>
    <w:rsid w:val="008B579A"/>
    <w:rsid w:val="00947F2A"/>
    <w:rsid w:val="009A390A"/>
    <w:rsid w:val="009C4857"/>
    <w:rsid w:val="009D5F60"/>
    <w:rsid w:val="009F646E"/>
    <w:rsid w:val="00A10020"/>
    <w:rsid w:val="00A25947"/>
    <w:rsid w:val="00A4788A"/>
    <w:rsid w:val="00AA320F"/>
    <w:rsid w:val="00AE0380"/>
    <w:rsid w:val="00B53669"/>
    <w:rsid w:val="00B6412D"/>
    <w:rsid w:val="00BC7787"/>
    <w:rsid w:val="00BD76A4"/>
    <w:rsid w:val="00BF1ED5"/>
    <w:rsid w:val="00C16875"/>
    <w:rsid w:val="00D13793"/>
    <w:rsid w:val="00D31F08"/>
    <w:rsid w:val="00D32E52"/>
    <w:rsid w:val="00D81E0D"/>
    <w:rsid w:val="00D97F21"/>
    <w:rsid w:val="00DB2ACF"/>
    <w:rsid w:val="00DC3972"/>
    <w:rsid w:val="00DD13EC"/>
    <w:rsid w:val="00DF4884"/>
    <w:rsid w:val="00E071BA"/>
    <w:rsid w:val="00E4660C"/>
    <w:rsid w:val="00E54AB1"/>
    <w:rsid w:val="00E55C38"/>
    <w:rsid w:val="00EB44B3"/>
    <w:rsid w:val="00F3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3FD7"/>
  <w15:chartTrackingRefBased/>
  <w15:docId w15:val="{64F05F9E-4216-408E-B2BE-D96C352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5947"/>
    <w:pPr>
      <w:spacing w:after="0" w:line="240" w:lineRule="auto"/>
    </w:pPr>
    <w:rPr>
      <w:rFonts w:ascii="Times New Roman" w:eastAsia="Times New Roman" w:hAnsi="Times New Roman" w:cs="Times New Roman"/>
      <w:kern w:val="0"/>
      <w:lang w:val="lt-LT" w:eastAsia="lt-LT"/>
      <w14:ligatures w14:val="none"/>
    </w:rPr>
  </w:style>
  <w:style w:type="paragraph" w:styleId="Antrat1">
    <w:name w:val="heading 1"/>
    <w:basedOn w:val="prastasis"/>
    <w:next w:val="prastasis"/>
    <w:link w:val="Antrat1Diagrama"/>
    <w:uiPriority w:val="9"/>
    <w:qFormat/>
    <w:rsid w:val="00A259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A259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A259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A2594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Antrat5">
    <w:name w:val="heading 5"/>
    <w:basedOn w:val="prastasis"/>
    <w:next w:val="prastasis"/>
    <w:link w:val="Antrat5Diagrama"/>
    <w:uiPriority w:val="9"/>
    <w:semiHidden/>
    <w:unhideWhenUsed/>
    <w:qFormat/>
    <w:rsid w:val="00A25947"/>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Antrat6">
    <w:name w:val="heading 6"/>
    <w:basedOn w:val="prastasis"/>
    <w:next w:val="prastasis"/>
    <w:link w:val="Antrat6Diagrama"/>
    <w:uiPriority w:val="9"/>
    <w:semiHidden/>
    <w:unhideWhenUsed/>
    <w:qFormat/>
    <w:rsid w:val="00A25947"/>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Antrat7">
    <w:name w:val="heading 7"/>
    <w:basedOn w:val="prastasis"/>
    <w:next w:val="prastasis"/>
    <w:link w:val="Antrat7Diagrama"/>
    <w:uiPriority w:val="9"/>
    <w:semiHidden/>
    <w:unhideWhenUsed/>
    <w:qFormat/>
    <w:rsid w:val="00A25947"/>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Antrat8">
    <w:name w:val="heading 8"/>
    <w:basedOn w:val="prastasis"/>
    <w:next w:val="prastasis"/>
    <w:link w:val="Antrat8Diagrama"/>
    <w:uiPriority w:val="9"/>
    <w:semiHidden/>
    <w:unhideWhenUsed/>
    <w:qFormat/>
    <w:rsid w:val="00A25947"/>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Antrat9">
    <w:name w:val="heading 9"/>
    <w:basedOn w:val="prastasis"/>
    <w:next w:val="prastasis"/>
    <w:link w:val="Antrat9Diagrama"/>
    <w:uiPriority w:val="9"/>
    <w:semiHidden/>
    <w:unhideWhenUsed/>
    <w:qFormat/>
    <w:rsid w:val="00A25947"/>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59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59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59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59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59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59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59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59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59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5947"/>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A259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59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A259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5947"/>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ataDiagrama">
    <w:name w:val="Citata Diagrama"/>
    <w:basedOn w:val="Numatytasispastraiposriftas"/>
    <w:link w:val="Citata"/>
    <w:uiPriority w:val="29"/>
    <w:rsid w:val="00A25947"/>
    <w:rPr>
      <w:i/>
      <w:iCs/>
      <w:color w:val="404040" w:themeColor="text1" w:themeTint="BF"/>
    </w:rPr>
  </w:style>
  <w:style w:type="paragraph" w:styleId="Sraopastraipa">
    <w:name w:val="List Paragraph"/>
    <w:basedOn w:val="prastasis"/>
    <w:uiPriority w:val="34"/>
    <w:qFormat/>
    <w:rsid w:val="00A25947"/>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Rykuspabraukimas">
    <w:name w:val="Intense Emphasis"/>
    <w:basedOn w:val="Numatytasispastraiposriftas"/>
    <w:uiPriority w:val="21"/>
    <w:qFormat/>
    <w:rsid w:val="00A25947"/>
    <w:rPr>
      <w:i/>
      <w:iCs/>
      <w:color w:val="0F4761" w:themeColor="accent1" w:themeShade="BF"/>
    </w:rPr>
  </w:style>
  <w:style w:type="paragraph" w:styleId="Iskirtacitata">
    <w:name w:val="Intense Quote"/>
    <w:basedOn w:val="prastasis"/>
    <w:next w:val="prastasis"/>
    <w:link w:val="IskirtacitataDiagrama"/>
    <w:uiPriority w:val="30"/>
    <w:qFormat/>
    <w:rsid w:val="00A259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skirtacitataDiagrama">
    <w:name w:val="Išskirta citata Diagrama"/>
    <w:basedOn w:val="Numatytasispastraiposriftas"/>
    <w:link w:val="Iskirtacitata"/>
    <w:uiPriority w:val="30"/>
    <w:rsid w:val="00A25947"/>
    <w:rPr>
      <w:i/>
      <w:iCs/>
      <w:color w:val="0F4761" w:themeColor="accent1" w:themeShade="BF"/>
    </w:rPr>
  </w:style>
  <w:style w:type="character" w:styleId="Rykinuoroda">
    <w:name w:val="Intense Reference"/>
    <w:basedOn w:val="Numatytasispastraiposriftas"/>
    <w:uiPriority w:val="32"/>
    <w:qFormat/>
    <w:rsid w:val="00A25947"/>
    <w:rPr>
      <w:b/>
      <w:bCs/>
      <w:smallCaps/>
      <w:color w:val="0F4761" w:themeColor="accent1" w:themeShade="BF"/>
      <w:spacing w:val="5"/>
    </w:rPr>
  </w:style>
  <w:style w:type="paragraph" w:styleId="Antrats">
    <w:name w:val="header"/>
    <w:basedOn w:val="prastasis"/>
    <w:link w:val="AntratsDiagrama"/>
    <w:uiPriority w:val="99"/>
    <w:rsid w:val="00A25947"/>
    <w:pPr>
      <w:tabs>
        <w:tab w:val="center" w:pos="4819"/>
        <w:tab w:val="right" w:pos="9638"/>
      </w:tabs>
    </w:pPr>
  </w:style>
  <w:style w:type="character" w:customStyle="1" w:styleId="AntratsDiagrama">
    <w:name w:val="Antraštės Diagrama"/>
    <w:basedOn w:val="Numatytasispastraiposriftas"/>
    <w:link w:val="Antrats"/>
    <w:uiPriority w:val="99"/>
    <w:rsid w:val="00A25947"/>
    <w:rPr>
      <w:rFonts w:ascii="Times New Roman" w:eastAsia="Times New Roman" w:hAnsi="Times New Roman" w:cs="Times New Roman"/>
      <w:kern w:val="0"/>
      <w:lang w:val="lt-LT" w:eastAsia="lt-LT"/>
      <w14:ligatures w14:val="none"/>
    </w:rPr>
  </w:style>
  <w:style w:type="character" w:styleId="Nerykuspabraukimas">
    <w:name w:val="Subtle Emphasis"/>
    <w:uiPriority w:val="19"/>
    <w:qFormat/>
    <w:rsid w:val="00A25947"/>
    <w:rPr>
      <w:i/>
      <w:iCs/>
      <w:color w:val="808080"/>
    </w:rPr>
  </w:style>
  <w:style w:type="paragraph" w:styleId="Betarp">
    <w:name w:val="No Spacing"/>
    <w:uiPriority w:val="1"/>
    <w:qFormat/>
    <w:rsid w:val="00A25947"/>
    <w:pPr>
      <w:spacing w:after="0" w:line="240" w:lineRule="auto"/>
    </w:pPr>
    <w:rPr>
      <w:rFonts w:ascii="Times New Roman" w:eastAsia="Times New Roman" w:hAnsi="Times New Roman" w:cs="Times New Roman"/>
      <w:kern w:val="0"/>
      <w:lang w:val="lt-LT" w:eastAsia="lt-LT"/>
      <w14:ligatures w14:val="none"/>
    </w:rPr>
  </w:style>
  <w:style w:type="character" w:customStyle="1" w:styleId="apple-converted-space">
    <w:name w:val="apple-converted-space"/>
    <w:rsid w:val="004E5A6D"/>
  </w:style>
  <w:style w:type="paragraph" w:styleId="Pataisymai">
    <w:name w:val="Revision"/>
    <w:hidden/>
    <w:uiPriority w:val="99"/>
    <w:semiHidden/>
    <w:rsid w:val="00A4788A"/>
    <w:pPr>
      <w:spacing w:after="0"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1061</Words>
  <Characters>6051</Characters>
  <Application>Microsoft Office Word</Application>
  <DocSecurity>0</DocSecurity>
  <Lines>50</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Rumbutienė</dc:creator>
  <cp:keywords/>
  <dc:description/>
  <cp:lastModifiedBy>Alma Rumbutienė</cp:lastModifiedBy>
  <cp:revision>6</cp:revision>
  <dcterms:created xsi:type="dcterms:W3CDTF">2025-10-09T10:54:00Z</dcterms:created>
  <dcterms:modified xsi:type="dcterms:W3CDTF">2025-11-19T06:33:00Z</dcterms:modified>
</cp:coreProperties>
</file>