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7559B8">
        <w:rPr>
          <w:lang w:val="lt-LT"/>
        </w:rPr>
        <w:t>5</w:t>
      </w:r>
      <w:r w:rsidRPr="002E424C">
        <w:rPr>
          <w:lang w:val="lt-LT"/>
        </w:rPr>
        <w:t xml:space="preserve"> m.</w:t>
      </w:r>
      <w:r w:rsidR="00BE297D">
        <w:rPr>
          <w:lang w:val="lt-LT"/>
        </w:rPr>
        <w:t xml:space="preserve"> </w:t>
      </w:r>
      <w:r w:rsidR="002D64A6">
        <w:rPr>
          <w:lang w:val="lt-LT"/>
        </w:rPr>
        <w:t xml:space="preserve">rugsėjo 2 </w:t>
      </w:r>
      <w:r w:rsidRPr="002E424C">
        <w:rPr>
          <w:lang w:val="lt-LT"/>
        </w:rPr>
        <w:t>d. Nr.</w:t>
      </w:r>
      <w:r w:rsidR="00757B5E" w:rsidRPr="002E424C">
        <w:rPr>
          <w:lang w:val="lt-LT"/>
        </w:rPr>
        <w:t xml:space="preserve"> </w:t>
      </w:r>
      <w:r w:rsidR="002D64A6">
        <w:rPr>
          <w:lang w:val="lt-LT"/>
        </w:rPr>
        <w:t>S1-962</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862FAE">
        <w:rPr>
          <w:szCs w:val="24"/>
          <w:lang w:eastAsia="en-US"/>
        </w:rPr>
        <w:t>K</w:t>
      </w:r>
      <w:r w:rsidR="002D64A6">
        <w:rPr>
          <w:szCs w:val="24"/>
          <w:lang w:eastAsia="en-US"/>
        </w:rPr>
        <w:t>.</w:t>
      </w:r>
      <w:r w:rsidR="00862FAE">
        <w:rPr>
          <w:szCs w:val="24"/>
          <w:lang w:eastAsia="en-US"/>
        </w:rPr>
        <w:t xml:space="preserve"> R</w:t>
      </w:r>
      <w:r w:rsidR="002D64A6">
        <w:rPr>
          <w:szCs w:val="24"/>
          <w:lang w:eastAsia="en-US"/>
        </w:rPr>
        <w:t>.</w:t>
      </w:r>
      <w:r w:rsidR="00840D78">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DD2931" w:rsidRPr="00517B35" w:rsidRDefault="000B0357" w:rsidP="00DD2931">
      <w:pPr>
        <w:tabs>
          <w:tab w:val="left" w:pos="709"/>
        </w:tabs>
        <w:jc w:val="both"/>
        <w:rPr>
          <w:szCs w:val="24"/>
        </w:rPr>
      </w:pPr>
      <w:r>
        <w:rPr>
          <w:szCs w:val="24"/>
        </w:rPr>
        <w:tab/>
      </w:r>
      <w:r w:rsidRPr="000B0357">
        <w:rPr>
          <w:szCs w:val="24"/>
        </w:rPr>
        <w:t>1.</w:t>
      </w:r>
      <w:r>
        <w:rPr>
          <w:szCs w:val="24"/>
        </w:rPr>
        <w:t xml:space="preserve">1. </w:t>
      </w:r>
      <w:r w:rsidR="00DD2931" w:rsidRPr="000B0357">
        <w:rPr>
          <w:szCs w:val="24"/>
        </w:rPr>
        <w:t xml:space="preserve">Šalys susitaria </w:t>
      </w:r>
      <w:r w:rsidR="00DD2931">
        <w:rPr>
          <w:szCs w:val="24"/>
        </w:rPr>
        <w:t xml:space="preserve">dėl </w:t>
      </w:r>
      <w:r w:rsidR="00862FAE" w:rsidRPr="00FF24C4">
        <w:rPr>
          <w:color w:val="000000" w:themeColor="text1"/>
          <w:szCs w:val="24"/>
        </w:rPr>
        <w:t xml:space="preserve">žemės sklypų </w:t>
      </w:r>
      <w:r w:rsidR="00862FAE">
        <w:rPr>
          <w:color w:val="000000" w:themeColor="text1"/>
          <w:szCs w:val="24"/>
        </w:rPr>
        <w:t>(</w:t>
      </w:r>
      <w:r w:rsidR="00862FAE" w:rsidRPr="00FF24C4">
        <w:rPr>
          <w:color w:val="000000" w:themeColor="text1"/>
          <w:szCs w:val="24"/>
        </w:rPr>
        <w:t>kadastro Nr. 5634/0007:1121, 5634/0007:1128, 5634/0007:1130, 5634/0007:1108, 5634/0007:1136, 5634/0007:1114, 5634/0007:1103, 5634/0007:1107, 5634/0007:1074, 5634/0007:1075, 5634/0007:1066, 5634/0007:1085, 5634/0007:1071</w:t>
      </w:r>
      <w:r w:rsidR="00862FAE">
        <w:rPr>
          <w:color w:val="000000" w:themeColor="text1"/>
          <w:szCs w:val="24"/>
        </w:rPr>
        <w:t>, 5634/0007:1106, 5634/0007:1109), esančių Aisčių g. 6A, 6, 4, 2, 6B, 6C, Tolių g. 6B, 6A, 10, 12, Kretingos m.,</w:t>
      </w:r>
      <w:r w:rsidR="00862FAE" w:rsidRPr="00FF24C4">
        <w:rPr>
          <w:color w:val="000000" w:themeColor="text1"/>
          <w:szCs w:val="24"/>
          <w:lang w:bidi="lt-LT"/>
        </w:rPr>
        <w:t xml:space="preserve"> </w:t>
      </w:r>
      <w:r w:rsidR="00862FAE" w:rsidRPr="0004761A">
        <w:rPr>
          <w:color w:val="000000" w:themeColor="text1"/>
          <w:szCs w:val="24"/>
          <w:lang w:bidi="lt-LT"/>
        </w:rPr>
        <w:t>kvartalo detal</w:t>
      </w:r>
      <w:r w:rsidR="00862FAE">
        <w:rPr>
          <w:color w:val="000000" w:themeColor="text1"/>
          <w:szCs w:val="24"/>
          <w:lang w:bidi="lt-LT"/>
        </w:rPr>
        <w:t>iojo</w:t>
      </w:r>
      <w:r w:rsidR="00862FAE" w:rsidRPr="0004761A">
        <w:rPr>
          <w:color w:val="000000" w:themeColor="text1"/>
          <w:szCs w:val="24"/>
          <w:lang w:bidi="lt-LT"/>
        </w:rPr>
        <w:t xml:space="preserve"> plan</w:t>
      </w:r>
      <w:r w:rsidR="00862FAE">
        <w:rPr>
          <w:color w:val="000000" w:themeColor="text1"/>
          <w:szCs w:val="24"/>
          <w:lang w:bidi="lt-LT"/>
        </w:rPr>
        <w:t xml:space="preserve">o </w:t>
      </w:r>
      <w:r w:rsidR="00862FAE" w:rsidRPr="000B0357">
        <w:t>(toliau – planuojama teritorija)</w:t>
      </w:r>
      <w:r w:rsidR="00862FAE">
        <w:rPr>
          <w:color w:val="000000" w:themeColor="text1"/>
          <w:szCs w:val="24"/>
          <w:lang w:bidi="lt-LT"/>
        </w:rPr>
        <w:t>, kuriuo keičiami</w:t>
      </w:r>
      <w:r w:rsidR="00862FAE">
        <w:rPr>
          <w:szCs w:val="24"/>
        </w:rPr>
        <w:t xml:space="preserve"> </w:t>
      </w:r>
      <w:r w:rsidR="00862FAE" w:rsidRPr="00FF24C4">
        <w:rPr>
          <w:szCs w:val="24"/>
          <w:lang w:bidi="lt-LT"/>
        </w:rPr>
        <w:t xml:space="preserve">detaliojo plano, patvirtinto Kretingos rajono savivaldybės administracijos direktoriaus 2014 m. sausio 21 d. įsakymu Nr. A1-32 </w:t>
      </w:r>
      <w:r w:rsidR="00862FAE" w:rsidRPr="00FF24C4">
        <w:rPr>
          <w:szCs w:val="24"/>
        </w:rPr>
        <w:t>„Dėl žemės skl</w:t>
      </w:r>
      <w:r w:rsidR="00862FAE">
        <w:rPr>
          <w:szCs w:val="24"/>
        </w:rPr>
        <w:t>ypo (kadastro Nr. 5657/0002:79)</w:t>
      </w:r>
      <w:r w:rsidR="00862FAE" w:rsidRPr="00FF24C4">
        <w:rPr>
          <w:szCs w:val="24"/>
        </w:rPr>
        <w:t xml:space="preserve"> </w:t>
      </w:r>
      <w:proofErr w:type="spellStart"/>
      <w:r w:rsidR="00862FAE" w:rsidRPr="00FF24C4">
        <w:rPr>
          <w:szCs w:val="24"/>
        </w:rPr>
        <w:t>Kluonalių</w:t>
      </w:r>
      <w:proofErr w:type="spellEnd"/>
      <w:r w:rsidR="00862FAE" w:rsidRPr="00FF24C4">
        <w:rPr>
          <w:szCs w:val="24"/>
        </w:rPr>
        <w:t xml:space="preserve"> k., Žalgirio sen., Kre</w:t>
      </w:r>
      <w:r w:rsidR="00862FAE">
        <w:rPr>
          <w:szCs w:val="24"/>
        </w:rPr>
        <w:t>tingos r. sav., detaliojo plano</w:t>
      </w:r>
      <w:r w:rsidR="00862FAE" w:rsidRPr="00FF24C4">
        <w:rPr>
          <w:szCs w:val="24"/>
        </w:rPr>
        <w:t xml:space="preserve"> tvirtinimo ir pagrindinės žemės naudojimo paskirties keitimo“</w:t>
      </w:r>
      <w:r w:rsidR="00862FAE" w:rsidRPr="00FF24C4">
        <w:rPr>
          <w:szCs w:val="24"/>
          <w:lang w:bidi="lt-LT"/>
        </w:rPr>
        <w:t xml:space="preserve">, </w:t>
      </w:r>
      <w:r w:rsidR="00862FAE">
        <w:rPr>
          <w:szCs w:val="24"/>
          <w:lang w:bidi="lt-LT"/>
        </w:rPr>
        <w:t>detaliojo plano sprendiniai,</w:t>
      </w:r>
      <w:r w:rsidR="00DD2931" w:rsidRPr="000B0357">
        <w:t xml:space="preserve"> teritorijų planavimo proceso inicijavimo, tai yra dėl detali</w:t>
      </w:r>
      <w:r w:rsidR="00DD2931">
        <w:t>ojo</w:t>
      </w:r>
      <w:r w:rsidR="00DD2931" w:rsidRPr="000B0357">
        <w:t xml:space="preserve"> plan</w:t>
      </w:r>
      <w:r w:rsidR="00DD2931">
        <w:t>o</w:t>
      </w:r>
      <w:r w:rsidR="00DD2931" w:rsidRPr="000B0357">
        <w:t xml:space="preserve"> </w:t>
      </w:r>
      <w:r w:rsidR="00DD2931">
        <w:t xml:space="preserve">(toliau – Detalusis planas) </w:t>
      </w:r>
      <w:r w:rsidR="00862FAE">
        <w:t>keitimo</w:t>
      </w:r>
      <w:r w:rsidR="00DD2931" w:rsidRPr="000B0357">
        <w:t xml:space="preserve"> ir finansavimo.</w:t>
      </w:r>
    </w:p>
    <w:p w:rsidR="00DD2931" w:rsidRDefault="00DD2931" w:rsidP="007D5640">
      <w:pPr>
        <w:tabs>
          <w:tab w:val="left" w:pos="709"/>
        </w:tabs>
        <w:jc w:val="both"/>
        <w:rPr>
          <w:szCs w:val="24"/>
        </w:rPr>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7E1327" w:rsidRDefault="000B0357" w:rsidP="007D5640">
      <w:pPr>
        <w:ind w:firstLine="720"/>
        <w:jc w:val="both"/>
        <w:rPr>
          <w:b/>
          <w:caps/>
          <w:szCs w:val="24"/>
        </w:rPr>
      </w:pPr>
      <w:r>
        <w:rPr>
          <w:szCs w:val="24"/>
        </w:rPr>
        <w:t xml:space="preserve">2.1. </w:t>
      </w:r>
      <w:bookmarkStart w:id="0" w:name="OLE_LINK2"/>
      <w:bookmarkStart w:id="1" w:name="OLE_LINK1"/>
      <w:r w:rsidR="00862FAE">
        <w:rPr>
          <w:color w:val="000000" w:themeColor="text1"/>
          <w:szCs w:val="24"/>
        </w:rPr>
        <w:t>T</w:t>
      </w:r>
      <w:r w:rsidR="00862FAE" w:rsidRPr="00FF24C4">
        <w:rPr>
          <w:color w:val="000000" w:themeColor="text1"/>
          <w:szCs w:val="24"/>
        </w:rPr>
        <w:t>eritorijos (žemės sklypų kadastro Nr. 5634/0007:1121, 5634/0007:1128, 5634/0007:1130, 5634/0007:1108, 5634/0007:1136, 5634/0007:1114, 5634/0007:1103, 5634/0007:1107, 5634/0007:1106, 5634/0007:1109, 5634/0007:1074, 5634/0007:1075, 5634/0007:1066, 5634/0007:1085, 5634/0007:1071) pertvarkymas,</w:t>
      </w:r>
      <w:r w:rsidR="00862FAE" w:rsidRPr="00FF24C4">
        <w:rPr>
          <w:color w:val="000000" w:themeColor="text1"/>
          <w:szCs w:val="24"/>
          <w:lang w:bidi="lt-LT"/>
        </w:rPr>
        <w:t xml:space="preserve"> padalinimas, naudojimo paskirties ir būdų nustatymas, inžinerinei infrastruktūrai reikalingų teritorijų suplanavimas </w:t>
      </w:r>
      <w:r w:rsidR="00862FAE" w:rsidRPr="00FF24C4">
        <w:rPr>
          <w:color w:val="000000" w:themeColor="text1"/>
          <w:szCs w:val="24"/>
        </w:rPr>
        <w:t>detalizuojant Bendrajame plane nustatytus teritorijos tvarkymo ir naudojimo privalomuosius reikalavimus.</w:t>
      </w:r>
    </w:p>
    <w:p w:rsidR="004E6498" w:rsidRDefault="004E649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862FAE">
        <w:rPr>
          <w:szCs w:val="24"/>
        </w:rPr>
        <w:t>keisti</w:t>
      </w:r>
      <w:r w:rsidRPr="002E424C">
        <w:rPr>
          <w:szCs w:val="24"/>
        </w:rPr>
        <w:t xml:space="preserve"> teritorijų planavimo dokumentą pagal Lietuvos Respublikos įstatymuose ir kituose teisės aktuose nustatytus reikalavimus.</w:t>
      </w:r>
    </w:p>
    <w:p w:rsidR="00DD2931" w:rsidRPr="00FE43B6" w:rsidRDefault="005D6B2D" w:rsidP="007D5640">
      <w:pPr>
        <w:ind w:firstLine="720"/>
        <w:jc w:val="both"/>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4F306D" w:rsidRPr="00E75E8E">
        <w:rPr>
          <w:szCs w:val="24"/>
        </w:rPr>
        <w:t xml:space="preserve">: </w:t>
      </w:r>
      <w:r w:rsidR="004C3D16" w:rsidRPr="002E424C">
        <w:rPr>
          <w:szCs w:val="24"/>
        </w:rPr>
        <w:t>UAB „</w:t>
      </w:r>
      <w:r w:rsidR="007559B8">
        <w:rPr>
          <w:szCs w:val="24"/>
        </w:rPr>
        <w:t>Project 28</w:t>
      </w:r>
      <w:r w:rsidR="004C3D16" w:rsidRPr="002E424C">
        <w:rPr>
          <w:szCs w:val="24"/>
        </w:rPr>
        <w:t>“, įmonės kodas</w:t>
      </w:r>
      <w:r w:rsidR="004C3D16">
        <w:rPr>
          <w:szCs w:val="24"/>
        </w:rPr>
        <w:t xml:space="preserve"> </w:t>
      </w:r>
      <w:r w:rsidR="007559B8">
        <w:rPr>
          <w:color w:val="222222"/>
          <w:szCs w:val="24"/>
          <w:shd w:val="clear" w:color="auto" w:fill="FFFFFF"/>
        </w:rPr>
        <w:t>303041489</w:t>
      </w:r>
      <w:r w:rsidR="004C3D16">
        <w:rPr>
          <w:szCs w:val="24"/>
        </w:rPr>
        <w:t xml:space="preserve">, </w:t>
      </w:r>
      <w:r w:rsidR="004C3D16">
        <w:rPr>
          <w:rFonts w:eastAsia="Calibri"/>
          <w:szCs w:val="24"/>
        </w:rPr>
        <w:t xml:space="preserve">buveinės adresas: </w:t>
      </w:r>
      <w:r w:rsidR="007559B8">
        <w:rPr>
          <w:szCs w:val="24"/>
        </w:rPr>
        <w:t>H. Manto g. 7, Klaipėda.</w:t>
      </w:r>
    </w:p>
    <w:p w:rsidR="0016341A" w:rsidRPr="002E424C" w:rsidRDefault="005D6B2D" w:rsidP="007D5640">
      <w:pPr>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862FAE">
        <w:rPr>
          <w:szCs w:val="24"/>
        </w:rPr>
        <w:t>keitimą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w:t>
      </w:r>
      <w:r w:rsidR="006D692F" w:rsidRPr="00523554">
        <w:rPr>
          <w:szCs w:val="24"/>
        </w:rPr>
        <w:lastRenderedPageBreak/>
        <w:t>„Dėl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4445EA" w:rsidRDefault="004445EA" w:rsidP="004445EA">
      <w:pPr>
        <w:spacing w:line="276" w:lineRule="auto"/>
        <w:ind w:firstLine="709"/>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rsidR="007559B8" w:rsidRDefault="007559B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862FAE" w:rsidRDefault="00862FAE" w:rsidP="007D5640">
      <w:pPr>
        <w:ind w:firstLine="720"/>
        <w:jc w:val="center"/>
        <w:rPr>
          <w:b/>
          <w:szCs w:val="24"/>
        </w:rPr>
      </w:pPr>
    </w:p>
    <w:p w:rsidR="00862FAE" w:rsidRDefault="00862FAE" w:rsidP="007D5640">
      <w:pPr>
        <w:ind w:firstLine="720"/>
        <w:jc w:val="center"/>
        <w:rPr>
          <w:b/>
          <w:szCs w:val="24"/>
        </w:rPr>
      </w:pPr>
    </w:p>
    <w:p w:rsidR="002D64A6" w:rsidRDefault="002D64A6" w:rsidP="007D5640">
      <w:pPr>
        <w:ind w:firstLine="720"/>
        <w:jc w:val="center"/>
        <w:rPr>
          <w:b/>
          <w:szCs w:val="24"/>
        </w:rPr>
      </w:pPr>
    </w:p>
    <w:p w:rsidR="002D64A6" w:rsidRDefault="002D64A6" w:rsidP="007D5640">
      <w:pPr>
        <w:ind w:firstLine="720"/>
        <w:jc w:val="center"/>
        <w:rPr>
          <w:b/>
          <w:szCs w:val="24"/>
        </w:rPr>
      </w:pPr>
    </w:p>
    <w:p w:rsidR="00D6180D" w:rsidRDefault="005D6B2D" w:rsidP="007D5640">
      <w:pPr>
        <w:ind w:firstLine="720"/>
        <w:jc w:val="center"/>
        <w:rPr>
          <w:b/>
          <w:szCs w:val="24"/>
        </w:rPr>
      </w:pPr>
      <w:r w:rsidRPr="002E424C">
        <w:rPr>
          <w:b/>
          <w:szCs w:val="24"/>
        </w:rPr>
        <w:lastRenderedPageBreak/>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840D78" w:rsidRDefault="005D6B2D" w:rsidP="00840D7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840D78" w:rsidRDefault="00840D78" w:rsidP="00840D78">
      <w:pPr>
        <w:ind w:firstLine="720"/>
        <w:jc w:val="both"/>
        <w:rPr>
          <w:szCs w:val="24"/>
        </w:rPr>
      </w:pPr>
    </w:p>
    <w:p w:rsidR="00840D78" w:rsidRDefault="00840D78" w:rsidP="00840D78">
      <w:pPr>
        <w:ind w:firstLine="720"/>
        <w:jc w:val="both"/>
        <w:rPr>
          <w:szCs w:val="24"/>
        </w:rPr>
      </w:pPr>
    </w:p>
    <w:p w:rsidR="005D6B2D" w:rsidRPr="002E424C" w:rsidRDefault="005D6B2D" w:rsidP="00840D78">
      <w:pPr>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iniciatoriai</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4C3D16" w:rsidRDefault="00862FAE" w:rsidP="007D5640">
            <w:pPr>
              <w:jc w:val="both"/>
              <w:rPr>
                <w:color w:val="000000" w:themeColor="text1"/>
                <w:szCs w:val="24"/>
                <w:lang w:eastAsia="en-US"/>
              </w:rPr>
            </w:pPr>
            <w:r>
              <w:rPr>
                <w:color w:val="000000" w:themeColor="text1"/>
                <w:szCs w:val="24"/>
                <w:lang w:eastAsia="en-US"/>
              </w:rPr>
              <w:t>K</w:t>
            </w:r>
            <w:r w:rsidR="002D64A6">
              <w:rPr>
                <w:color w:val="000000" w:themeColor="text1"/>
                <w:szCs w:val="24"/>
                <w:lang w:eastAsia="en-US"/>
              </w:rPr>
              <w:t>.</w:t>
            </w:r>
            <w:r>
              <w:rPr>
                <w:color w:val="000000" w:themeColor="text1"/>
                <w:szCs w:val="24"/>
                <w:lang w:eastAsia="en-US"/>
              </w:rPr>
              <w:t xml:space="preserve"> R</w:t>
            </w:r>
            <w:r w:rsidR="002D64A6">
              <w:rPr>
                <w:color w:val="000000" w:themeColor="text1"/>
                <w:szCs w:val="24"/>
                <w:lang w:eastAsia="en-US"/>
              </w:rPr>
              <w:t>.</w:t>
            </w:r>
          </w:p>
          <w:p w:rsidR="00840D78" w:rsidRDefault="00840D78" w:rsidP="007D5640">
            <w:pPr>
              <w:jc w:val="both"/>
              <w:rPr>
                <w:color w:val="000000" w:themeColor="text1"/>
                <w:szCs w:val="24"/>
                <w:lang w:eastAsia="en-US"/>
              </w:rPr>
            </w:pPr>
          </w:p>
          <w:p w:rsidR="005F65E1" w:rsidRDefault="005F65E1" w:rsidP="007D5640">
            <w:pPr>
              <w:jc w:val="both"/>
              <w:rPr>
                <w:color w:val="000000" w:themeColor="text1"/>
                <w:szCs w:val="24"/>
                <w:lang w:eastAsia="en-US"/>
              </w:rPr>
            </w:pPr>
            <w:bookmarkStart w:id="8" w:name="_GoBack"/>
            <w:bookmarkEnd w:id="8"/>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367978" w:rsidRDefault="00367978" w:rsidP="007D5640">
      <w:pPr>
        <w:jc w:val="both"/>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Default="00367978" w:rsidP="00367978">
      <w:pPr>
        <w:rPr>
          <w:szCs w:val="24"/>
        </w:rPr>
      </w:pPr>
    </w:p>
    <w:p w:rsidR="00367978" w:rsidRDefault="00367978" w:rsidP="00367978">
      <w:pPr>
        <w:rPr>
          <w:szCs w:val="24"/>
        </w:rPr>
      </w:pPr>
    </w:p>
    <w:p w:rsidR="00DA54EE" w:rsidRPr="00367978" w:rsidRDefault="00DA54EE" w:rsidP="00367978">
      <w:pPr>
        <w:rPr>
          <w:szCs w:val="24"/>
        </w:rPr>
      </w:pPr>
    </w:p>
    <w:sectPr w:rsidR="00DA54EE" w:rsidRPr="00367978" w:rsidSect="00E14818">
      <w:headerReference w:type="default" r:id="rId9"/>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276DFA">
          <w:fldChar w:fldCharType="begin"/>
        </w:r>
        <w:r>
          <w:instrText>PAGE   \* MERGEFORMAT</w:instrText>
        </w:r>
        <w:r w:rsidR="00276DFA">
          <w:fldChar w:fldCharType="separate"/>
        </w:r>
        <w:r w:rsidR="002D64A6">
          <w:rPr>
            <w:noProof/>
          </w:rPr>
          <w:t>2</w:t>
        </w:r>
        <w:r w:rsidR="00276DFA">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837FB"/>
    <w:rsid w:val="000A4074"/>
    <w:rsid w:val="000A6AFA"/>
    <w:rsid w:val="000B0357"/>
    <w:rsid w:val="000D571B"/>
    <w:rsid w:val="000E02FE"/>
    <w:rsid w:val="000E27F8"/>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76DFA"/>
    <w:rsid w:val="00286EB9"/>
    <w:rsid w:val="00293361"/>
    <w:rsid w:val="00294FB0"/>
    <w:rsid w:val="002A0DD7"/>
    <w:rsid w:val="002A446B"/>
    <w:rsid w:val="002A6EF7"/>
    <w:rsid w:val="002B7D0E"/>
    <w:rsid w:val="002D64A6"/>
    <w:rsid w:val="002E276A"/>
    <w:rsid w:val="002E424C"/>
    <w:rsid w:val="002E79AF"/>
    <w:rsid w:val="003013FB"/>
    <w:rsid w:val="00353D8C"/>
    <w:rsid w:val="00355575"/>
    <w:rsid w:val="00367978"/>
    <w:rsid w:val="00383892"/>
    <w:rsid w:val="00392880"/>
    <w:rsid w:val="003B2A8A"/>
    <w:rsid w:val="003C7A7F"/>
    <w:rsid w:val="003F05FD"/>
    <w:rsid w:val="003F23C6"/>
    <w:rsid w:val="003F30A3"/>
    <w:rsid w:val="0043392F"/>
    <w:rsid w:val="004445EA"/>
    <w:rsid w:val="00450B10"/>
    <w:rsid w:val="00453557"/>
    <w:rsid w:val="00466243"/>
    <w:rsid w:val="004718DA"/>
    <w:rsid w:val="00482489"/>
    <w:rsid w:val="004A0CE7"/>
    <w:rsid w:val="004C3D16"/>
    <w:rsid w:val="004E6498"/>
    <w:rsid w:val="004F306D"/>
    <w:rsid w:val="00517B35"/>
    <w:rsid w:val="00525F21"/>
    <w:rsid w:val="00527155"/>
    <w:rsid w:val="0053677F"/>
    <w:rsid w:val="005516A5"/>
    <w:rsid w:val="0056522A"/>
    <w:rsid w:val="00586B25"/>
    <w:rsid w:val="0059740E"/>
    <w:rsid w:val="005A6BF5"/>
    <w:rsid w:val="005D3B94"/>
    <w:rsid w:val="005D6B2D"/>
    <w:rsid w:val="005E311D"/>
    <w:rsid w:val="005F65E1"/>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41392"/>
    <w:rsid w:val="00752CDE"/>
    <w:rsid w:val="007559B8"/>
    <w:rsid w:val="00757B5E"/>
    <w:rsid w:val="00762138"/>
    <w:rsid w:val="00762ACC"/>
    <w:rsid w:val="0077533D"/>
    <w:rsid w:val="0079198E"/>
    <w:rsid w:val="007967A1"/>
    <w:rsid w:val="007C0780"/>
    <w:rsid w:val="007C2D14"/>
    <w:rsid w:val="007C5A37"/>
    <w:rsid w:val="007C7C2E"/>
    <w:rsid w:val="007D5640"/>
    <w:rsid w:val="007D5F76"/>
    <w:rsid w:val="007E1327"/>
    <w:rsid w:val="007F2010"/>
    <w:rsid w:val="007F5F48"/>
    <w:rsid w:val="0080311E"/>
    <w:rsid w:val="00803AC4"/>
    <w:rsid w:val="00803D42"/>
    <w:rsid w:val="00835EBD"/>
    <w:rsid w:val="00840D78"/>
    <w:rsid w:val="008467C0"/>
    <w:rsid w:val="008514DB"/>
    <w:rsid w:val="00862FAE"/>
    <w:rsid w:val="00865012"/>
    <w:rsid w:val="008903B0"/>
    <w:rsid w:val="008B071A"/>
    <w:rsid w:val="008D068E"/>
    <w:rsid w:val="008F0714"/>
    <w:rsid w:val="00904DB6"/>
    <w:rsid w:val="009069EA"/>
    <w:rsid w:val="009366AE"/>
    <w:rsid w:val="00941175"/>
    <w:rsid w:val="00943775"/>
    <w:rsid w:val="00953319"/>
    <w:rsid w:val="00970228"/>
    <w:rsid w:val="0097669F"/>
    <w:rsid w:val="009801AD"/>
    <w:rsid w:val="009811D9"/>
    <w:rsid w:val="009A5D9E"/>
    <w:rsid w:val="009C595D"/>
    <w:rsid w:val="009D32E1"/>
    <w:rsid w:val="009E7B30"/>
    <w:rsid w:val="009F149A"/>
    <w:rsid w:val="00A423CD"/>
    <w:rsid w:val="00A439A1"/>
    <w:rsid w:val="00A67E70"/>
    <w:rsid w:val="00A94FEC"/>
    <w:rsid w:val="00A9563E"/>
    <w:rsid w:val="00AA11B4"/>
    <w:rsid w:val="00AB1CF0"/>
    <w:rsid w:val="00AB452F"/>
    <w:rsid w:val="00AC3F1C"/>
    <w:rsid w:val="00AC42E8"/>
    <w:rsid w:val="00AD2BFC"/>
    <w:rsid w:val="00AD54DE"/>
    <w:rsid w:val="00AF0816"/>
    <w:rsid w:val="00AF2247"/>
    <w:rsid w:val="00AF4E15"/>
    <w:rsid w:val="00AF4EFA"/>
    <w:rsid w:val="00B00A86"/>
    <w:rsid w:val="00B10E72"/>
    <w:rsid w:val="00B312CC"/>
    <w:rsid w:val="00B323A4"/>
    <w:rsid w:val="00B33949"/>
    <w:rsid w:val="00B5004C"/>
    <w:rsid w:val="00B73D3C"/>
    <w:rsid w:val="00B851A9"/>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B6648"/>
    <w:rsid w:val="00DC092B"/>
    <w:rsid w:val="00DC5C6D"/>
    <w:rsid w:val="00DD2931"/>
    <w:rsid w:val="00DF03D0"/>
    <w:rsid w:val="00DF76C5"/>
    <w:rsid w:val="00E127CB"/>
    <w:rsid w:val="00E14818"/>
    <w:rsid w:val="00E21EA2"/>
    <w:rsid w:val="00E56F4C"/>
    <w:rsid w:val="00E63963"/>
    <w:rsid w:val="00E75E8E"/>
    <w:rsid w:val="00E7779B"/>
    <w:rsid w:val="00E82FCC"/>
    <w:rsid w:val="00E84D8C"/>
    <w:rsid w:val="00E90858"/>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 w:id="1959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4DBD-D45A-406C-B590-EF63BE35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50269B9</Template>
  <TotalTime>1</TotalTime>
  <Pages>3</Pages>
  <Words>5245</Words>
  <Characters>2990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2024-09-05T07:16:00Z</cp:lastPrinted>
  <dcterms:created xsi:type="dcterms:W3CDTF">2025-09-04T06:02:00Z</dcterms:created>
  <dcterms:modified xsi:type="dcterms:W3CDTF">2025-09-04T06:02:00Z</dcterms:modified>
</cp:coreProperties>
</file>